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C2D4" w14:textId="77777777" w:rsidR="00230D2E" w:rsidRDefault="00A94A80" w:rsidP="00A94A80">
      <w:pPr>
        <w:jc w:val="center"/>
        <w:rPr>
          <w:b/>
          <w:sz w:val="22"/>
          <w:szCs w:val="22"/>
        </w:rPr>
      </w:pPr>
      <w:r w:rsidRPr="00A860A7">
        <w:rPr>
          <w:b/>
          <w:sz w:val="22"/>
          <w:szCs w:val="22"/>
        </w:rPr>
        <w:t xml:space="preserve">PENGARUH PAPARAN </w:t>
      </w:r>
      <w:r w:rsidRPr="00A860A7">
        <w:rPr>
          <w:b/>
          <w:i/>
          <w:iCs/>
          <w:sz w:val="22"/>
          <w:szCs w:val="22"/>
        </w:rPr>
        <w:t>Monosodium Glutamat</w:t>
      </w:r>
      <w:r w:rsidRPr="00A860A7">
        <w:rPr>
          <w:b/>
          <w:sz w:val="22"/>
          <w:szCs w:val="22"/>
        </w:rPr>
        <w:t xml:space="preserve"> (MSG) TERHADAP </w:t>
      </w:r>
    </w:p>
    <w:p w14:paraId="4F0C0FD7" w14:textId="748804B2" w:rsidR="00A94A80" w:rsidRPr="00A860A7" w:rsidRDefault="00A94A80" w:rsidP="00A94A80">
      <w:pPr>
        <w:jc w:val="center"/>
        <w:rPr>
          <w:b/>
          <w:sz w:val="22"/>
          <w:szCs w:val="22"/>
        </w:rPr>
      </w:pPr>
      <w:r w:rsidRPr="00A860A7">
        <w:rPr>
          <w:b/>
          <w:sz w:val="22"/>
          <w:szCs w:val="22"/>
        </w:rPr>
        <w:t>VIABILITAS SEL MONOSIT</w:t>
      </w:r>
    </w:p>
    <w:p w14:paraId="1CC877AF" w14:textId="77777777" w:rsidR="00A94A80" w:rsidRDefault="00A94A80" w:rsidP="00A94A80">
      <w:pPr>
        <w:jc w:val="center"/>
        <w:rPr>
          <w:sz w:val="20"/>
          <w:szCs w:val="20"/>
        </w:rPr>
      </w:pPr>
    </w:p>
    <w:p w14:paraId="51A4407A" w14:textId="142FB151" w:rsidR="00A94A80" w:rsidRPr="00230D2E" w:rsidRDefault="00A94A80" w:rsidP="00A94A80">
      <w:pPr>
        <w:jc w:val="center"/>
        <w:rPr>
          <w:b/>
          <w:sz w:val="20"/>
          <w:szCs w:val="20"/>
        </w:rPr>
      </w:pPr>
      <w:r w:rsidRPr="00230D2E">
        <w:rPr>
          <w:b/>
          <w:sz w:val="20"/>
          <w:szCs w:val="20"/>
        </w:rPr>
        <w:t>Aliza Dewi Fortuna</w:t>
      </w:r>
    </w:p>
    <w:p w14:paraId="254A623C" w14:textId="6908E712" w:rsidR="00A94A80" w:rsidRPr="00230D2E" w:rsidRDefault="00A860A7" w:rsidP="00CE495E">
      <w:pPr>
        <w:jc w:val="center"/>
        <w:rPr>
          <w:sz w:val="20"/>
          <w:szCs w:val="20"/>
        </w:rPr>
      </w:pPr>
      <w:r w:rsidRPr="00230D2E">
        <w:rPr>
          <w:sz w:val="20"/>
          <w:szCs w:val="20"/>
        </w:rPr>
        <w:t>Jurusan</w:t>
      </w:r>
      <w:r w:rsidR="00A94A80" w:rsidRPr="00230D2E">
        <w:rPr>
          <w:sz w:val="20"/>
          <w:szCs w:val="20"/>
        </w:rPr>
        <w:t xml:space="preserve"> Teknologi Laboratorium Medis, Poltekkes Kemenkes Surabaya; </w:t>
      </w:r>
      <w:hyperlink r:id="rId8" w:history="1">
        <w:r w:rsidR="00CE495E" w:rsidRPr="000468BE">
          <w:rPr>
            <w:rStyle w:val="Hyperlink"/>
            <w:color w:val="auto"/>
            <w:sz w:val="20"/>
            <w:szCs w:val="20"/>
            <w:u w:val="none"/>
          </w:rPr>
          <w:t>dewi12311@gmail.com</w:t>
        </w:r>
      </w:hyperlink>
    </w:p>
    <w:p w14:paraId="31A77070" w14:textId="6DFB88CC" w:rsidR="00A94A80" w:rsidRPr="00230D2E" w:rsidRDefault="00A94A80" w:rsidP="00A94A80">
      <w:pPr>
        <w:jc w:val="center"/>
        <w:rPr>
          <w:b/>
          <w:sz w:val="20"/>
          <w:szCs w:val="20"/>
        </w:rPr>
      </w:pPr>
      <w:r w:rsidRPr="00230D2E">
        <w:rPr>
          <w:b/>
          <w:sz w:val="20"/>
          <w:szCs w:val="20"/>
        </w:rPr>
        <w:t>Suhariyadi</w:t>
      </w:r>
    </w:p>
    <w:p w14:paraId="40BF66B1" w14:textId="09FEC68D" w:rsidR="00CE495E" w:rsidRPr="00230D2E" w:rsidRDefault="00A860A7" w:rsidP="00CE495E">
      <w:pPr>
        <w:jc w:val="center"/>
        <w:rPr>
          <w:sz w:val="20"/>
          <w:szCs w:val="20"/>
        </w:rPr>
      </w:pPr>
      <w:r w:rsidRPr="00230D2E">
        <w:rPr>
          <w:sz w:val="20"/>
          <w:szCs w:val="20"/>
        </w:rPr>
        <w:t>Jurusan</w:t>
      </w:r>
      <w:r w:rsidR="00CE495E" w:rsidRPr="00230D2E">
        <w:rPr>
          <w:sz w:val="20"/>
          <w:szCs w:val="20"/>
        </w:rPr>
        <w:t xml:space="preserve"> Teknologi Laboratorium Medis, Poltekkes Kemenkes Surabaya; </w:t>
      </w:r>
      <w:hyperlink r:id="rId9" w:history="1">
        <w:r w:rsidR="00CE495E" w:rsidRPr="000468BE">
          <w:rPr>
            <w:rStyle w:val="Hyperlink"/>
            <w:color w:val="auto"/>
            <w:sz w:val="20"/>
            <w:szCs w:val="20"/>
            <w:u w:val="none"/>
          </w:rPr>
          <w:t>suharkemenkes@gmail.com</w:t>
        </w:r>
      </w:hyperlink>
    </w:p>
    <w:p w14:paraId="04687E9C" w14:textId="68930D79" w:rsidR="00A94A80" w:rsidRPr="00230D2E" w:rsidRDefault="00A94A80" w:rsidP="00A94A80">
      <w:pPr>
        <w:jc w:val="center"/>
        <w:rPr>
          <w:b/>
          <w:sz w:val="20"/>
          <w:szCs w:val="20"/>
        </w:rPr>
      </w:pPr>
      <w:r w:rsidRPr="00230D2E">
        <w:rPr>
          <w:b/>
          <w:sz w:val="20"/>
          <w:szCs w:val="20"/>
        </w:rPr>
        <w:t>Evy Diah Woelansari</w:t>
      </w:r>
    </w:p>
    <w:p w14:paraId="09D36946" w14:textId="6AE62B53" w:rsidR="00CE495E" w:rsidRPr="00230D2E" w:rsidRDefault="00A860A7" w:rsidP="00CE495E">
      <w:pPr>
        <w:jc w:val="center"/>
        <w:rPr>
          <w:sz w:val="20"/>
          <w:szCs w:val="20"/>
        </w:rPr>
      </w:pPr>
      <w:r w:rsidRPr="00230D2E">
        <w:rPr>
          <w:sz w:val="20"/>
          <w:szCs w:val="20"/>
        </w:rPr>
        <w:t>Jurusan</w:t>
      </w:r>
      <w:r w:rsidR="00CE495E" w:rsidRPr="00230D2E">
        <w:rPr>
          <w:sz w:val="20"/>
          <w:szCs w:val="20"/>
        </w:rPr>
        <w:t xml:space="preserve"> Teknologi Laboratorium Medis, Poltekkes Kemenkes Surabaya; </w:t>
      </w:r>
      <w:hyperlink r:id="rId10" w:history="1">
        <w:r w:rsidR="00CE495E" w:rsidRPr="000468BE">
          <w:rPr>
            <w:rStyle w:val="Hyperlink"/>
            <w:color w:val="auto"/>
            <w:sz w:val="20"/>
            <w:szCs w:val="20"/>
            <w:u w:val="none"/>
          </w:rPr>
          <w:t>evydiahws@gmail.com</w:t>
        </w:r>
      </w:hyperlink>
    </w:p>
    <w:p w14:paraId="2B6E6EE4" w14:textId="728BA43E" w:rsidR="00A94A80" w:rsidRPr="00230D2E" w:rsidRDefault="00A94A80" w:rsidP="00A94A80">
      <w:pPr>
        <w:jc w:val="center"/>
        <w:rPr>
          <w:b/>
          <w:sz w:val="20"/>
          <w:szCs w:val="20"/>
        </w:rPr>
      </w:pPr>
      <w:r w:rsidRPr="00230D2E">
        <w:rPr>
          <w:b/>
          <w:sz w:val="20"/>
          <w:szCs w:val="20"/>
        </w:rPr>
        <w:t>Purwati</w:t>
      </w:r>
    </w:p>
    <w:p w14:paraId="431200AC" w14:textId="364F762D" w:rsidR="00A94A80" w:rsidRPr="00230D2E" w:rsidRDefault="00CE495E" w:rsidP="00A94A80">
      <w:pPr>
        <w:jc w:val="center"/>
        <w:rPr>
          <w:sz w:val="20"/>
          <w:szCs w:val="20"/>
        </w:rPr>
      </w:pPr>
      <w:r w:rsidRPr="00230D2E">
        <w:rPr>
          <w:sz w:val="20"/>
          <w:szCs w:val="20"/>
        </w:rPr>
        <w:t xml:space="preserve">Pusat Penelitian dan Pengembangan Stem Cell, Universitas Airlangga, Surabaya; </w:t>
      </w:r>
      <w:hyperlink r:id="rId11" w:history="1">
        <w:r w:rsidR="008617C5" w:rsidRPr="000468BE">
          <w:rPr>
            <w:rStyle w:val="Hyperlink"/>
            <w:color w:val="auto"/>
            <w:sz w:val="20"/>
            <w:szCs w:val="20"/>
            <w:u w:val="none"/>
          </w:rPr>
          <w:t>purwatipanpan@gmail.com</w:t>
        </w:r>
      </w:hyperlink>
      <w:r w:rsidRPr="00230D2E">
        <w:rPr>
          <w:sz w:val="20"/>
          <w:szCs w:val="20"/>
        </w:rPr>
        <w:t xml:space="preserve"> </w:t>
      </w:r>
    </w:p>
    <w:p w14:paraId="6C9613BD" w14:textId="77777777" w:rsidR="00A94A80" w:rsidRPr="00221865" w:rsidRDefault="00A94A80" w:rsidP="00A94A80">
      <w:pPr>
        <w:jc w:val="center"/>
        <w:rPr>
          <w:sz w:val="20"/>
          <w:szCs w:val="20"/>
        </w:rPr>
      </w:pPr>
    </w:p>
    <w:p w14:paraId="2B9A05F1" w14:textId="77777777" w:rsidR="00A860A7" w:rsidRDefault="00A860A7" w:rsidP="00A94A80">
      <w:pPr>
        <w:jc w:val="center"/>
        <w:rPr>
          <w:b/>
          <w:i/>
          <w:sz w:val="20"/>
          <w:szCs w:val="20"/>
        </w:rPr>
      </w:pPr>
    </w:p>
    <w:p w14:paraId="5480184B" w14:textId="1B19107B" w:rsidR="00A94A80" w:rsidRPr="00B86FE0" w:rsidRDefault="00A94A80" w:rsidP="00A94A80">
      <w:pPr>
        <w:jc w:val="center"/>
        <w:rPr>
          <w:b/>
          <w:i/>
          <w:sz w:val="20"/>
          <w:szCs w:val="20"/>
        </w:rPr>
      </w:pPr>
      <w:r w:rsidRPr="00B86FE0">
        <w:rPr>
          <w:b/>
          <w:i/>
          <w:sz w:val="20"/>
          <w:szCs w:val="20"/>
        </w:rPr>
        <w:t>ABSTRACT</w:t>
      </w:r>
    </w:p>
    <w:p w14:paraId="5130DEF8" w14:textId="77777777" w:rsidR="00A94A80" w:rsidRPr="00B86FE0" w:rsidRDefault="00A94A80" w:rsidP="00A94A80">
      <w:pPr>
        <w:jc w:val="center"/>
        <w:rPr>
          <w:i/>
          <w:sz w:val="20"/>
          <w:szCs w:val="20"/>
        </w:rPr>
      </w:pPr>
    </w:p>
    <w:p w14:paraId="054AF437" w14:textId="053F82C9" w:rsidR="00A94A80" w:rsidRPr="00A94A80" w:rsidRDefault="00A94A80" w:rsidP="00A94A80">
      <w:pPr>
        <w:contextualSpacing/>
        <w:jc w:val="both"/>
        <w:rPr>
          <w:i/>
          <w:iCs/>
          <w:sz w:val="20"/>
          <w:szCs w:val="20"/>
        </w:rPr>
      </w:pPr>
      <w:r w:rsidRPr="00A94A80">
        <w:rPr>
          <w:i/>
          <w:iCs/>
          <w:sz w:val="20"/>
          <w:szCs w:val="20"/>
        </w:rPr>
        <w:t>The consumption rate of Monosodium Glutamate (MSG) in Indonesia has increased every year. Uncontrolled use of MSG in Indonesia for a long period of time can cause toxic effects on the body. The free glutamate content produced by MSG can affect the work of the immune system, especially in the innate immune system and cause oxidative stress. To determine the effect of exposure to Monosodium Glutamate (MSG) on the viability of monocyte cells.</w:t>
      </w:r>
      <w:r w:rsidRPr="00A94A80">
        <w:rPr>
          <w:b/>
          <w:bCs/>
          <w:i/>
          <w:iCs/>
          <w:sz w:val="20"/>
          <w:szCs w:val="20"/>
          <w:lang w:val="de-AT"/>
        </w:rPr>
        <w:t xml:space="preserve"> </w:t>
      </w:r>
      <w:r w:rsidRPr="00A94A80">
        <w:rPr>
          <w:i/>
          <w:iCs/>
          <w:sz w:val="20"/>
          <w:szCs w:val="20"/>
        </w:rPr>
        <w:t>This study is a laboratory experimental in vitro with a post test only control group design. A total of 10</w:t>
      </w:r>
      <w:r w:rsidR="00A860A7">
        <w:rPr>
          <w:i/>
          <w:iCs/>
          <w:sz w:val="20"/>
          <w:szCs w:val="20"/>
        </w:rPr>
        <w:t xml:space="preserve"> </w:t>
      </w:r>
      <w:r w:rsidRPr="00A94A80">
        <w:rPr>
          <w:i/>
          <w:iCs/>
          <w:sz w:val="20"/>
          <w:szCs w:val="20"/>
        </w:rPr>
        <w:t>cc of peripheral venous blood was isolated using the ficoll gradient centrifugation method. The results of monocyte cell isolates were exposed to Monosodium Glutamate (MSG) according to groups. Group I: negative control, group II: monocyte cells + MSG 3%, group III: monocyte cells + MSG 6%, group IV: monocyte cells + MSG 9%. Subsequently incubated for 24 hours at 37 °C in 5% CO</w:t>
      </w:r>
      <w:r w:rsidRPr="00A94A80">
        <w:rPr>
          <w:i/>
          <w:iCs/>
          <w:sz w:val="20"/>
          <w:szCs w:val="20"/>
          <w:vertAlign w:val="subscript"/>
        </w:rPr>
        <w:t>2</w:t>
      </w:r>
      <w:r w:rsidRPr="00A94A80">
        <w:rPr>
          <w:i/>
          <w:iCs/>
          <w:sz w:val="20"/>
          <w:szCs w:val="20"/>
        </w:rPr>
        <w:t>. Then the viability test was carried out using trypan blue staining. Monocyte cell viability calculations were carried out under an inverted microscope with a magnification of 400x per 100 cells. The data obtained were analyzed statistically using the one-way Anova test followed by the LSD test. The average viability in each group was obtained as follows, monocyte cell viability in the control group was 63%, group II was 47%, group III was 45% and group IV was 35%. There is an effect of exposure to Monosodium Glutamate (MSG) on the viability of monocyte cells with the most significant effect being the 9% MSG concentration with an average viability of 35%.</w:t>
      </w:r>
    </w:p>
    <w:p w14:paraId="5FC413F7" w14:textId="73DBE09C" w:rsidR="00A94A80" w:rsidRPr="00A94A80" w:rsidRDefault="00A94A80" w:rsidP="00A94A80">
      <w:pPr>
        <w:autoSpaceDE w:val="0"/>
        <w:autoSpaceDN w:val="0"/>
        <w:adjustRightInd w:val="0"/>
        <w:jc w:val="both"/>
        <w:rPr>
          <w:i/>
          <w:iCs/>
          <w:color w:val="000000" w:themeColor="text1"/>
          <w:sz w:val="20"/>
          <w:szCs w:val="20"/>
        </w:rPr>
      </w:pPr>
      <w:r w:rsidRPr="00B86FE0">
        <w:rPr>
          <w:b/>
          <w:i/>
          <w:color w:val="000000" w:themeColor="text1"/>
          <w:sz w:val="20"/>
          <w:szCs w:val="20"/>
        </w:rPr>
        <w:t>Keywords</w:t>
      </w:r>
      <w:r w:rsidR="00230D2E">
        <w:rPr>
          <w:b/>
          <w:i/>
          <w:color w:val="000000" w:themeColor="text1"/>
          <w:sz w:val="20"/>
          <w:szCs w:val="20"/>
        </w:rPr>
        <w:t xml:space="preserve"> </w:t>
      </w:r>
      <w:r w:rsidRPr="00B86FE0">
        <w:rPr>
          <w:i/>
          <w:color w:val="000000" w:themeColor="text1"/>
          <w:sz w:val="20"/>
          <w:szCs w:val="20"/>
        </w:rPr>
        <w:t xml:space="preserve">: </w:t>
      </w:r>
      <w:r w:rsidRPr="00A94A80">
        <w:rPr>
          <w:i/>
          <w:iCs/>
          <w:sz w:val="20"/>
          <w:szCs w:val="20"/>
        </w:rPr>
        <w:t>Monosodium Glutamate (MSG)</w:t>
      </w:r>
      <w:r>
        <w:rPr>
          <w:i/>
          <w:iCs/>
          <w:sz w:val="20"/>
          <w:szCs w:val="20"/>
        </w:rPr>
        <w:t>;</w:t>
      </w:r>
      <w:r w:rsidR="00230D2E">
        <w:rPr>
          <w:i/>
          <w:iCs/>
          <w:sz w:val="20"/>
          <w:szCs w:val="20"/>
        </w:rPr>
        <w:t>V</w:t>
      </w:r>
      <w:r w:rsidRPr="00A94A80">
        <w:rPr>
          <w:i/>
          <w:iCs/>
          <w:sz w:val="20"/>
          <w:szCs w:val="20"/>
        </w:rPr>
        <w:t>iability</w:t>
      </w:r>
      <w:r>
        <w:rPr>
          <w:i/>
          <w:iCs/>
          <w:sz w:val="20"/>
          <w:szCs w:val="20"/>
        </w:rPr>
        <w:t>;</w:t>
      </w:r>
      <w:r w:rsidRPr="00A94A80">
        <w:rPr>
          <w:i/>
          <w:iCs/>
          <w:sz w:val="20"/>
          <w:szCs w:val="20"/>
        </w:rPr>
        <w:t xml:space="preserve"> </w:t>
      </w:r>
      <w:r w:rsidR="00230D2E">
        <w:rPr>
          <w:i/>
          <w:iCs/>
          <w:sz w:val="20"/>
          <w:szCs w:val="20"/>
        </w:rPr>
        <w:t>M</w:t>
      </w:r>
      <w:r w:rsidRPr="00A94A80">
        <w:rPr>
          <w:i/>
          <w:iCs/>
          <w:sz w:val="20"/>
          <w:szCs w:val="20"/>
        </w:rPr>
        <w:t>onocytes</w:t>
      </w:r>
    </w:p>
    <w:p w14:paraId="0D76467F" w14:textId="77777777" w:rsidR="00A860A7" w:rsidRPr="00A860A7" w:rsidRDefault="00A860A7" w:rsidP="00A860A7">
      <w:pPr>
        <w:jc w:val="center"/>
        <w:rPr>
          <w:b/>
          <w:sz w:val="16"/>
          <w:szCs w:val="16"/>
          <w:lang w:val="id-ID"/>
        </w:rPr>
      </w:pPr>
    </w:p>
    <w:p w14:paraId="003EE205" w14:textId="42F0082C" w:rsidR="00A94A80" w:rsidRPr="00221865" w:rsidRDefault="00A94A80" w:rsidP="00A94A80">
      <w:pPr>
        <w:spacing w:before="240"/>
        <w:jc w:val="center"/>
        <w:rPr>
          <w:b/>
          <w:sz w:val="20"/>
          <w:szCs w:val="20"/>
          <w:lang w:val="id-ID"/>
        </w:rPr>
      </w:pPr>
      <w:r w:rsidRPr="00221865">
        <w:rPr>
          <w:b/>
          <w:sz w:val="20"/>
          <w:szCs w:val="20"/>
          <w:lang w:val="id-ID"/>
        </w:rPr>
        <w:t>ABSTRAK</w:t>
      </w:r>
    </w:p>
    <w:p w14:paraId="077193E4" w14:textId="77777777" w:rsidR="00A94A80" w:rsidRDefault="00A94A80" w:rsidP="00A94A80">
      <w:pPr>
        <w:jc w:val="both"/>
        <w:rPr>
          <w:sz w:val="20"/>
          <w:szCs w:val="20"/>
        </w:rPr>
      </w:pPr>
    </w:p>
    <w:p w14:paraId="2605FC22" w14:textId="788C8C51" w:rsidR="00CE495E" w:rsidRPr="00230D2E" w:rsidRDefault="00CE495E" w:rsidP="00A94A80">
      <w:pPr>
        <w:autoSpaceDE w:val="0"/>
        <w:autoSpaceDN w:val="0"/>
        <w:adjustRightInd w:val="0"/>
        <w:jc w:val="both"/>
        <w:rPr>
          <w:b/>
          <w:color w:val="000000" w:themeColor="text1"/>
          <w:sz w:val="20"/>
          <w:szCs w:val="20"/>
        </w:rPr>
      </w:pPr>
      <w:r w:rsidRPr="00230D2E">
        <w:rPr>
          <w:sz w:val="20"/>
          <w:szCs w:val="20"/>
        </w:rPr>
        <w:t xml:space="preserve">Angka konsumsi </w:t>
      </w:r>
      <w:r w:rsidRPr="00230D2E">
        <w:rPr>
          <w:i/>
          <w:iCs/>
          <w:sz w:val="20"/>
          <w:szCs w:val="20"/>
        </w:rPr>
        <w:t>Monosodium Glutamat</w:t>
      </w:r>
      <w:r w:rsidRPr="00230D2E">
        <w:rPr>
          <w:sz w:val="20"/>
          <w:szCs w:val="20"/>
        </w:rPr>
        <w:t xml:space="preserve"> (MSG) di Indonesia terus mengalami kenaikan tiap tahunnya. Penggunaan MSG yang tidak terkontrol di Indonesia dalam jangka waktu panjang dapat menyebabkan efek toksik bagi tubuh. Kandungan glutamat bebas yang dihasilkan MSG dapat mempengaruhi </w:t>
      </w:r>
      <w:r w:rsidRPr="00230D2E">
        <w:rPr>
          <w:color w:val="000000"/>
          <w:sz w:val="20"/>
          <w:szCs w:val="20"/>
        </w:rPr>
        <w:t>kerja sistem imun terutama pada sistem imun bawaan serta menyebabkan stress oksidatif.</w:t>
      </w:r>
      <w:r w:rsidR="00A860A7" w:rsidRPr="00230D2E">
        <w:rPr>
          <w:b/>
          <w:bCs/>
          <w:color w:val="000000"/>
          <w:sz w:val="20"/>
          <w:szCs w:val="20"/>
        </w:rPr>
        <w:t xml:space="preserve"> </w:t>
      </w:r>
      <w:r w:rsidR="00A860A7" w:rsidRPr="00230D2E">
        <w:rPr>
          <w:color w:val="000000"/>
          <w:sz w:val="20"/>
          <w:szCs w:val="20"/>
        </w:rPr>
        <w:t xml:space="preserve">Sehingga tujuan penelitian ini menganalisis </w:t>
      </w:r>
      <w:r w:rsidRPr="00230D2E">
        <w:rPr>
          <w:color w:val="000000"/>
          <w:sz w:val="20"/>
          <w:szCs w:val="20"/>
        </w:rPr>
        <w:t xml:space="preserve"> pengaruh paparan </w:t>
      </w:r>
      <w:r w:rsidRPr="00230D2E">
        <w:rPr>
          <w:i/>
          <w:iCs/>
          <w:sz w:val="20"/>
          <w:szCs w:val="20"/>
        </w:rPr>
        <w:t>Monosodium Glutamat</w:t>
      </w:r>
      <w:r w:rsidRPr="00230D2E">
        <w:rPr>
          <w:sz w:val="20"/>
          <w:szCs w:val="20"/>
        </w:rPr>
        <w:t xml:space="preserve"> (MSG) terhadap vibilitas sel monosit. Penelitian ini merupakan eksperimental laboratoris </w:t>
      </w:r>
      <w:r w:rsidRPr="00230D2E">
        <w:rPr>
          <w:i/>
          <w:iCs/>
          <w:sz w:val="20"/>
          <w:szCs w:val="20"/>
        </w:rPr>
        <w:t>in vitro</w:t>
      </w:r>
      <w:r w:rsidRPr="00230D2E">
        <w:rPr>
          <w:sz w:val="20"/>
          <w:szCs w:val="20"/>
        </w:rPr>
        <w:t xml:space="preserve"> dengan rancangan </w:t>
      </w:r>
      <w:r w:rsidRPr="00230D2E">
        <w:rPr>
          <w:i/>
          <w:iCs/>
          <w:sz w:val="20"/>
          <w:szCs w:val="20"/>
        </w:rPr>
        <w:t>Post test only control group design</w:t>
      </w:r>
      <w:r w:rsidRPr="00230D2E">
        <w:rPr>
          <w:sz w:val="20"/>
          <w:szCs w:val="20"/>
        </w:rPr>
        <w:t>. Sebanyak 10</w:t>
      </w:r>
      <w:r w:rsidR="00A860A7" w:rsidRPr="00230D2E">
        <w:rPr>
          <w:sz w:val="20"/>
          <w:szCs w:val="20"/>
        </w:rPr>
        <w:t xml:space="preserve"> </w:t>
      </w:r>
      <w:r w:rsidRPr="00230D2E">
        <w:rPr>
          <w:sz w:val="20"/>
          <w:szCs w:val="20"/>
        </w:rPr>
        <w:t xml:space="preserve">cc darah vena perifer diisolasi menggunakan metode sentrifugasi gradien </w:t>
      </w:r>
      <w:r w:rsidRPr="00230D2E">
        <w:rPr>
          <w:i/>
          <w:iCs/>
          <w:sz w:val="20"/>
          <w:szCs w:val="20"/>
        </w:rPr>
        <w:t>ficoll</w:t>
      </w:r>
      <w:r w:rsidRPr="00230D2E">
        <w:rPr>
          <w:sz w:val="20"/>
          <w:szCs w:val="20"/>
        </w:rPr>
        <w:t xml:space="preserve">. Hasil isolat sel monosit dilakukan pemaparan dengan </w:t>
      </w:r>
      <w:r w:rsidRPr="00230D2E">
        <w:rPr>
          <w:i/>
          <w:iCs/>
          <w:sz w:val="20"/>
          <w:szCs w:val="20"/>
        </w:rPr>
        <w:t>Monosodium Glutamat</w:t>
      </w:r>
      <w:r w:rsidRPr="00230D2E">
        <w:rPr>
          <w:sz w:val="20"/>
          <w:szCs w:val="20"/>
        </w:rPr>
        <w:t xml:space="preserve"> (MSG) sesuai kelompok. Kelompok I: kontrol negatif, kelompok II : sel monosit + MSG 3%, kelompok III : sel monosit + MSG 6%, kelompok IV : sel monosit + MSG 9%. Selanjutnya diinkubasi selama 24 jam dengan </w:t>
      </w:r>
      <w:r w:rsidRPr="00230D2E">
        <w:rPr>
          <w:color w:val="000000"/>
          <w:sz w:val="20"/>
          <w:szCs w:val="20"/>
        </w:rPr>
        <w:t>dengan suhu 37</w:t>
      </w:r>
      <w:r w:rsidRPr="00230D2E">
        <w:rPr>
          <w:color w:val="000000"/>
          <w:sz w:val="20"/>
          <w:szCs w:val="20"/>
          <w:vertAlign w:val="superscript"/>
        </w:rPr>
        <w:t>o</w:t>
      </w:r>
      <w:r w:rsidRPr="00230D2E">
        <w:rPr>
          <w:color w:val="000000"/>
          <w:sz w:val="20"/>
          <w:szCs w:val="20"/>
        </w:rPr>
        <w:t>C dalam 5% CO</w:t>
      </w:r>
      <w:r w:rsidRPr="00230D2E">
        <w:rPr>
          <w:color w:val="000000"/>
          <w:sz w:val="20"/>
          <w:szCs w:val="20"/>
          <w:vertAlign w:val="subscript"/>
        </w:rPr>
        <w:t>2</w:t>
      </w:r>
      <w:r w:rsidRPr="00230D2E">
        <w:rPr>
          <w:color w:val="000000"/>
          <w:sz w:val="20"/>
          <w:szCs w:val="20"/>
        </w:rPr>
        <w:t xml:space="preserve">. Kemudian dilakukan uji viabilitas menggunakan pewarnaan </w:t>
      </w:r>
      <w:r w:rsidRPr="00230D2E">
        <w:rPr>
          <w:i/>
          <w:iCs/>
          <w:color w:val="000000"/>
          <w:sz w:val="20"/>
          <w:szCs w:val="20"/>
        </w:rPr>
        <w:t xml:space="preserve">trypan </w:t>
      </w:r>
      <w:r w:rsidRPr="00230D2E">
        <w:rPr>
          <w:color w:val="000000"/>
          <w:sz w:val="20"/>
          <w:szCs w:val="20"/>
        </w:rPr>
        <w:t xml:space="preserve">blue. Perhitungan viabilitas sel monosit dilakukan dibawah mikroskop </w:t>
      </w:r>
      <w:r w:rsidRPr="00230D2E">
        <w:rPr>
          <w:i/>
          <w:iCs/>
          <w:color w:val="000000"/>
          <w:sz w:val="20"/>
          <w:szCs w:val="20"/>
        </w:rPr>
        <w:t xml:space="preserve">inverted </w:t>
      </w:r>
      <w:r w:rsidRPr="00230D2E">
        <w:rPr>
          <w:color w:val="000000"/>
          <w:sz w:val="20"/>
          <w:szCs w:val="20"/>
        </w:rPr>
        <w:t>dengan perbesaran 400x per 100 sel</w:t>
      </w:r>
      <w:r w:rsidRPr="00230D2E">
        <w:rPr>
          <w:sz w:val="20"/>
          <w:szCs w:val="20"/>
        </w:rPr>
        <w:t xml:space="preserve">. Data yang diperoleh dianalisis secara statistik menggunakan uji </w:t>
      </w:r>
      <w:r w:rsidRPr="00230D2E">
        <w:rPr>
          <w:i/>
          <w:iCs/>
          <w:sz w:val="20"/>
          <w:szCs w:val="20"/>
        </w:rPr>
        <w:t xml:space="preserve">Anova one-way </w:t>
      </w:r>
      <w:r w:rsidRPr="00230D2E">
        <w:rPr>
          <w:sz w:val="20"/>
          <w:szCs w:val="20"/>
        </w:rPr>
        <w:t xml:space="preserve">dan dilanjutkan dengan uji LSD. </w:t>
      </w:r>
      <w:r w:rsidRPr="00230D2E">
        <w:rPr>
          <w:color w:val="000000"/>
          <w:sz w:val="20"/>
          <w:szCs w:val="20"/>
        </w:rPr>
        <w:t xml:space="preserve">Rata – rata viabilitas pada masing – masing kelompok diperoleh sebagai berikut, viabilitas sel monosit pada kelompok kontrol sebesar 63%, kelompok II sebesar 47%, kelompok III sebesar 45% dan kelompok IV sebesar 35%. </w:t>
      </w:r>
      <w:r w:rsidR="00A860A7" w:rsidRPr="00230D2E">
        <w:rPr>
          <w:color w:val="000000"/>
          <w:sz w:val="20"/>
          <w:szCs w:val="20"/>
        </w:rPr>
        <w:t>Dapat disimpulkan bahwa t</w:t>
      </w:r>
      <w:r w:rsidRPr="00230D2E">
        <w:rPr>
          <w:sz w:val="20"/>
          <w:szCs w:val="20"/>
        </w:rPr>
        <w:t xml:space="preserve">erdapat pengaruh paparan </w:t>
      </w:r>
      <w:r w:rsidRPr="00230D2E">
        <w:rPr>
          <w:i/>
          <w:iCs/>
          <w:sz w:val="20"/>
          <w:szCs w:val="20"/>
        </w:rPr>
        <w:t>Monosodium Glutamat</w:t>
      </w:r>
      <w:r w:rsidRPr="00230D2E">
        <w:rPr>
          <w:sz w:val="20"/>
          <w:szCs w:val="20"/>
        </w:rPr>
        <w:t xml:space="preserve"> (MSG) terhadap viabilitas sel monosit dengan pengaruh paling signifikan adalah kosentrasi MSG 9% dengan rata – rata viabilitas sebesar 35%.</w:t>
      </w:r>
    </w:p>
    <w:p w14:paraId="4D765084" w14:textId="780B993F" w:rsidR="00A94A80" w:rsidRPr="00230D2E" w:rsidRDefault="00A94A80" w:rsidP="00A94A80">
      <w:pPr>
        <w:autoSpaceDE w:val="0"/>
        <w:autoSpaceDN w:val="0"/>
        <w:adjustRightInd w:val="0"/>
        <w:jc w:val="both"/>
        <w:rPr>
          <w:b/>
          <w:sz w:val="20"/>
          <w:szCs w:val="20"/>
          <w:lang w:val="id-ID"/>
        </w:rPr>
      </w:pPr>
      <w:r w:rsidRPr="00230D2E">
        <w:rPr>
          <w:b/>
          <w:color w:val="000000" w:themeColor="text1"/>
          <w:sz w:val="20"/>
          <w:szCs w:val="20"/>
        </w:rPr>
        <w:t>Kata kunci</w:t>
      </w:r>
      <w:r w:rsidR="00230D2E">
        <w:rPr>
          <w:b/>
          <w:color w:val="000000" w:themeColor="text1"/>
          <w:sz w:val="20"/>
          <w:szCs w:val="20"/>
        </w:rPr>
        <w:t xml:space="preserve"> </w:t>
      </w:r>
      <w:r w:rsidRPr="00230D2E">
        <w:rPr>
          <w:color w:val="000000" w:themeColor="text1"/>
          <w:sz w:val="20"/>
          <w:szCs w:val="20"/>
        </w:rPr>
        <w:t xml:space="preserve">: </w:t>
      </w:r>
      <w:r w:rsidR="00CE495E" w:rsidRPr="00230D2E">
        <w:rPr>
          <w:i/>
          <w:iCs/>
          <w:sz w:val="20"/>
          <w:szCs w:val="20"/>
        </w:rPr>
        <w:t>Monosodium Glutamat</w:t>
      </w:r>
      <w:r w:rsidR="00CE495E" w:rsidRPr="00230D2E">
        <w:rPr>
          <w:sz w:val="20"/>
          <w:szCs w:val="20"/>
        </w:rPr>
        <w:t xml:space="preserve"> (MSG)</w:t>
      </w:r>
      <w:r w:rsidR="00230D2E">
        <w:rPr>
          <w:sz w:val="20"/>
          <w:szCs w:val="20"/>
        </w:rPr>
        <w:t>;</w:t>
      </w:r>
      <w:r w:rsidR="00CE495E" w:rsidRPr="00230D2E">
        <w:rPr>
          <w:sz w:val="20"/>
          <w:szCs w:val="20"/>
        </w:rPr>
        <w:t xml:space="preserve"> </w:t>
      </w:r>
      <w:r w:rsidR="00230D2E">
        <w:rPr>
          <w:color w:val="000000"/>
          <w:sz w:val="20"/>
          <w:szCs w:val="20"/>
        </w:rPr>
        <w:t>V</w:t>
      </w:r>
      <w:r w:rsidR="00CE495E" w:rsidRPr="00230D2E">
        <w:rPr>
          <w:color w:val="000000"/>
          <w:sz w:val="20"/>
          <w:szCs w:val="20"/>
        </w:rPr>
        <w:t>iabilitas</w:t>
      </w:r>
      <w:r w:rsidR="00230D2E">
        <w:rPr>
          <w:color w:val="000000"/>
          <w:sz w:val="20"/>
          <w:szCs w:val="20"/>
        </w:rPr>
        <w:t>;</w:t>
      </w:r>
      <w:r w:rsidR="00CE495E" w:rsidRPr="00230D2E">
        <w:rPr>
          <w:color w:val="000000"/>
          <w:sz w:val="20"/>
          <w:szCs w:val="20"/>
        </w:rPr>
        <w:t xml:space="preserve"> </w:t>
      </w:r>
      <w:r w:rsidR="00230D2E">
        <w:rPr>
          <w:color w:val="000000"/>
          <w:sz w:val="20"/>
          <w:szCs w:val="20"/>
        </w:rPr>
        <w:t>M</w:t>
      </w:r>
      <w:r w:rsidR="00CE495E" w:rsidRPr="00230D2E">
        <w:rPr>
          <w:color w:val="000000"/>
          <w:sz w:val="20"/>
          <w:szCs w:val="20"/>
        </w:rPr>
        <w:t>onosit</w:t>
      </w:r>
    </w:p>
    <w:p w14:paraId="4EFBB31A" w14:textId="77777777" w:rsidR="00A94A80" w:rsidRPr="00221865" w:rsidRDefault="00A94A80" w:rsidP="00A94A80">
      <w:pPr>
        <w:autoSpaceDE w:val="0"/>
        <w:autoSpaceDN w:val="0"/>
        <w:adjustRightInd w:val="0"/>
        <w:jc w:val="both"/>
        <w:rPr>
          <w:b/>
          <w:i/>
          <w:sz w:val="20"/>
          <w:szCs w:val="20"/>
          <w:lang w:val="id-ID"/>
        </w:rPr>
      </w:pPr>
    </w:p>
    <w:p w14:paraId="4005D5D1" w14:textId="77777777" w:rsidR="00CE495E" w:rsidRDefault="00CE495E" w:rsidP="00A94A80">
      <w:pPr>
        <w:jc w:val="both"/>
        <w:rPr>
          <w:b/>
          <w:sz w:val="20"/>
          <w:szCs w:val="20"/>
        </w:rPr>
      </w:pPr>
    </w:p>
    <w:p w14:paraId="2912D832" w14:textId="532921AE" w:rsidR="00A94A80" w:rsidRDefault="00A94A80" w:rsidP="00A94A80">
      <w:pPr>
        <w:jc w:val="both"/>
        <w:rPr>
          <w:b/>
          <w:sz w:val="20"/>
          <w:szCs w:val="20"/>
        </w:rPr>
      </w:pPr>
      <w:r w:rsidRPr="00B86FE0">
        <w:rPr>
          <w:b/>
          <w:sz w:val="20"/>
          <w:szCs w:val="20"/>
        </w:rPr>
        <w:t xml:space="preserve">PENDAHULUAN </w:t>
      </w:r>
    </w:p>
    <w:p w14:paraId="52FCB148" w14:textId="77777777" w:rsidR="00A94A80" w:rsidRDefault="00A94A80" w:rsidP="00A94A80">
      <w:pPr>
        <w:jc w:val="both"/>
        <w:rPr>
          <w:b/>
          <w:sz w:val="20"/>
          <w:szCs w:val="20"/>
        </w:rPr>
      </w:pPr>
    </w:p>
    <w:p w14:paraId="357E3DFC" w14:textId="4648B0CB" w:rsidR="00CE495E" w:rsidRPr="004D10CB" w:rsidRDefault="00CE495E" w:rsidP="00A860A7">
      <w:pPr>
        <w:pStyle w:val="ListParagraph"/>
        <w:spacing w:line="240" w:lineRule="auto"/>
        <w:ind w:left="0" w:firstLine="426"/>
        <w:jc w:val="both"/>
        <w:rPr>
          <w:sz w:val="20"/>
          <w:szCs w:val="20"/>
        </w:rPr>
      </w:pPr>
      <w:r w:rsidRPr="004D10CB">
        <w:rPr>
          <w:sz w:val="20"/>
          <w:szCs w:val="20"/>
        </w:rPr>
        <w:t xml:space="preserve">Makanan cepat saji mengandung zat aditif yang dapat memberikan rasa lezat serta meningkatkan nafsu makan yaitu penyedap makanan atau lebih dikenal </w:t>
      </w:r>
      <w:r w:rsidRPr="004D10CB">
        <w:rPr>
          <w:i/>
          <w:iCs/>
          <w:sz w:val="20"/>
          <w:szCs w:val="20"/>
        </w:rPr>
        <w:t xml:space="preserve">Monosodium Glutamat </w:t>
      </w:r>
      <w:r w:rsidRPr="004D10CB">
        <w:rPr>
          <w:sz w:val="20"/>
          <w:szCs w:val="20"/>
        </w:rPr>
        <w:t>(MSG). MSG</w:t>
      </w:r>
      <w:r w:rsidRPr="004D10CB">
        <w:rPr>
          <w:i/>
          <w:iCs/>
          <w:sz w:val="20"/>
          <w:szCs w:val="20"/>
        </w:rPr>
        <w:t xml:space="preserve"> </w:t>
      </w:r>
      <w:r w:rsidRPr="004D10CB">
        <w:rPr>
          <w:iCs/>
          <w:sz w:val="20"/>
          <w:szCs w:val="20"/>
        </w:rPr>
        <w:t>adalah sebuah</w:t>
      </w:r>
      <w:r w:rsidRPr="004D10CB">
        <w:rPr>
          <w:i/>
          <w:iCs/>
          <w:sz w:val="20"/>
          <w:szCs w:val="20"/>
        </w:rPr>
        <w:t xml:space="preserve"> </w:t>
      </w:r>
      <w:r w:rsidRPr="004D10CB">
        <w:rPr>
          <w:rStyle w:val="fontstyle01"/>
          <w:rFonts w:ascii="Times New Roman" w:hAnsi="Times New Roman"/>
          <w:sz w:val="20"/>
          <w:szCs w:val="20"/>
        </w:rPr>
        <w:t xml:space="preserve">garam natrium dari satu di antara beberapa jenis asam amino </w:t>
      </w:r>
      <w:r w:rsidRPr="004D10CB">
        <w:rPr>
          <w:rStyle w:val="fontstyle01"/>
          <w:rFonts w:ascii="Times New Roman" w:hAnsi="Times New Roman"/>
          <w:i/>
          <w:iCs/>
          <w:sz w:val="20"/>
          <w:szCs w:val="20"/>
        </w:rPr>
        <w:t>non</w:t>
      </w:r>
      <w:r w:rsidRPr="004D10CB">
        <w:rPr>
          <w:rStyle w:val="fontstyle01"/>
          <w:rFonts w:ascii="Times New Roman" w:hAnsi="Times New Roman"/>
          <w:sz w:val="20"/>
          <w:szCs w:val="20"/>
        </w:rPr>
        <w:t xml:space="preserve"> </w:t>
      </w:r>
      <w:r w:rsidRPr="004D10CB">
        <w:rPr>
          <w:rStyle w:val="fontstyle01"/>
          <w:rFonts w:ascii="Times New Roman" w:hAnsi="Times New Roman"/>
          <w:i/>
          <w:iCs/>
          <w:sz w:val="20"/>
          <w:szCs w:val="20"/>
        </w:rPr>
        <w:t>esensial</w:t>
      </w:r>
      <w:r w:rsidRPr="004D10CB">
        <w:rPr>
          <w:rStyle w:val="fontstyle01"/>
          <w:rFonts w:ascii="Times New Roman" w:hAnsi="Times New Roman"/>
          <w:sz w:val="20"/>
          <w:szCs w:val="20"/>
        </w:rPr>
        <w:t xml:space="preserve"> yaitu asam glutamat. Zat tersebut berfungsi </w:t>
      </w:r>
      <w:r w:rsidRPr="004D10CB">
        <w:rPr>
          <w:rStyle w:val="fontstyle01"/>
          <w:rFonts w:ascii="Times New Roman" w:hAnsi="Times New Roman"/>
          <w:sz w:val="20"/>
          <w:szCs w:val="20"/>
        </w:rPr>
        <w:lastRenderedPageBreak/>
        <w:t xml:space="preserve">menjadi penyedap ataupun penguat rasa apabila dilakukan penambahannya kepada makanan, </w:t>
      </w:r>
      <w:r w:rsidRPr="004D10CB">
        <w:rPr>
          <w:color w:val="000000"/>
          <w:sz w:val="20"/>
          <w:szCs w:val="20"/>
        </w:rPr>
        <w:t>berwujud seperti kristal putih dan bersifat stabil, namun bisa mengalami degradasi oleh oksidator kuat</w:t>
      </w:r>
      <w:r w:rsidRPr="004D10CB">
        <w:rPr>
          <w:rStyle w:val="fontstyle01"/>
          <w:rFonts w:ascii="Times New Roman" w:hAnsi="Times New Roman"/>
          <w:sz w:val="20"/>
          <w:szCs w:val="20"/>
        </w:rPr>
        <w:t xml:space="preserve">. Sebanyak 78% komponen penyusun MSG yakni glutamat, 12% natrium serta 10% air. Apabila terlarut dalam air maupun saliva, MSG terurai menjadi garam bebas serta menjadi bentuk anion dari glutamat. Adanya </w:t>
      </w:r>
      <w:r w:rsidRPr="004D10CB">
        <w:rPr>
          <w:color w:val="000000"/>
          <w:sz w:val="20"/>
          <w:szCs w:val="20"/>
        </w:rPr>
        <w:t>glutamat dapat membuka saluran ion Ca</w:t>
      </w:r>
      <w:r w:rsidRPr="004D10CB">
        <w:rPr>
          <w:color w:val="000000"/>
          <w:sz w:val="20"/>
          <w:szCs w:val="20"/>
          <w:vertAlign w:val="superscript"/>
        </w:rPr>
        <w:t>2+</w:t>
      </w:r>
      <w:r w:rsidRPr="004D10CB">
        <w:rPr>
          <w:color w:val="000000"/>
          <w:sz w:val="20"/>
          <w:szCs w:val="20"/>
        </w:rPr>
        <w:t xml:space="preserve"> di dalam neuron yang memiliki reseptor </w:t>
      </w:r>
      <w:r w:rsidRPr="004D10CB">
        <w:rPr>
          <w:i/>
          <w:iCs/>
          <w:color w:val="000000"/>
          <w:sz w:val="20"/>
          <w:szCs w:val="20"/>
        </w:rPr>
        <w:t xml:space="preserve">taste bud </w:t>
      </w:r>
      <w:r w:rsidRPr="004D10CB">
        <w:rPr>
          <w:color w:val="000000"/>
          <w:sz w:val="20"/>
          <w:szCs w:val="20"/>
        </w:rPr>
        <w:t>sehingga Ca</w:t>
      </w:r>
      <w:r w:rsidRPr="004D10CB">
        <w:rPr>
          <w:color w:val="000000"/>
          <w:sz w:val="20"/>
          <w:szCs w:val="20"/>
          <w:vertAlign w:val="superscript"/>
        </w:rPr>
        <w:t>2+</w:t>
      </w:r>
      <w:r w:rsidRPr="004D10CB">
        <w:rPr>
          <w:color w:val="000000"/>
          <w:sz w:val="20"/>
          <w:szCs w:val="20"/>
        </w:rPr>
        <w:t xml:space="preserve"> mengalami pergerakan pada sel yang mengakibatkan terjadinya depolarisasi reseptor serta potensial aksi, ketika sampai pada otak diartikan selaku rasa </w:t>
      </w:r>
      <w:r w:rsidRPr="004D10CB">
        <w:rPr>
          <w:i/>
          <w:iCs/>
          <w:color w:val="000000"/>
          <w:sz w:val="20"/>
          <w:szCs w:val="20"/>
        </w:rPr>
        <w:t>umami</w:t>
      </w:r>
      <w:r w:rsidRPr="004D10CB">
        <w:rPr>
          <w:color w:val="000000"/>
          <w:sz w:val="20"/>
          <w:szCs w:val="20"/>
        </w:rPr>
        <w:t xml:space="preserve"> (lezat)</w:t>
      </w:r>
      <w:r w:rsidR="002150E3" w:rsidRPr="002150E3">
        <w:rPr>
          <w:rFonts w:ascii="TimesNewRomanPSMT" w:hAnsi="TimesNewRomanPSMT"/>
          <w:color w:val="000000"/>
          <w:sz w:val="20"/>
          <w:szCs w:val="20"/>
          <w:vertAlign w:val="superscript"/>
        </w:rPr>
        <w:t xml:space="preserve"> </w:t>
      </w:r>
      <w:r w:rsidR="002150E3">
        <w:rPr>
          <w:rFonts w:ascii="TimesNewRomanPSMT" w:hAnsi="TimesNewRomanPSMT"/>
          <w:color w:val="000000"/>
          <w:sz w:val="20"/>
          <w:szCs w:val="20"/>
          <w:vertAlign w:val="superscript"/>
        </w:rPr>
        <w:t>(1)</w:t>
      </w:r>
      <w:r w:rsidR="0060699E">
        <w:rPr>
          <w:rFonts w:ascii="TimesNewRomanPSMT" w:hAnsi="TimesNewRomanPSMT"/>
          <w:color w:val="000000"/>
          <w:sz w:val="20"/>
          <w:szCs w:val="20"/>
        </w:rPr>
        <w:t>.</w:t>
      </w:r>
    </w:p>
    <w:p w14:paraId="471CCC4E" w14:textId="4FBF12FF" w:rsidR="00CE495E" w:rsidRPr="004D10CB" w:rsidRDefault="00CE495E" w:rsidP="00A860A7">
      <w:pPr>
        <w:pStyle w:val="ListParagraph"/>
        <w:tabs>
          <w:tab w:val="left" w:pos="567"/>
        </w:tabs>
        <w:spacing w:line="240" w:lineRule="auto"/>
        <w:ind w:left="0" w:firstLine="426"/>
        <w:jc w:val="both"/>
        <w:rPr>
          <w:color w:val="000000"/>
          <w:sz w:val="20"/>
          <w:szCs w:val="20"/>
        </w:rPr>
      </w:pPr>
      <w:r w:rsidRPr="004D10CB">
        <w:rPr>
          <w:color w:val="000000"/>
          <w:sz w:val="20"/>
          <w:szCs w:val="20"/>
        </w:rPr>
        <w:t xml:space="preserve">Proses pembuatan MSG di Indonesia dilakukan secara fermentasi dengan bantuan bakteri </w:t>
      </w:r>
      <w:r w:rsidRPr="004D10CB">
        <w:rPr>
          <w:i/>
          <w:iCs/>
          <w:color w:val="000000"/>
          <w:sz w:val="20"/>
          <w:szCs w:val="20"/>
        </w:rPr>
        <w:t xml:space="preserve">Micrococcus glutamaicus </w:t>
      </w:r>
      <w:r w:rsidRPr="004D10CB">
        <w:rPr>
          <w:color w:val="000000"/>
          <w:sz w:val="20"/>
          <w:szCs w:val="20"/>
        </w:rPr>
        <w:t>dari tetes tebu (</w:t>
      </w:r>
      <w:r w:rsidRPr="004D10CB">
        <w:rPr>
          <w:i/>
          <w:iCs/>
          <w:color w:val="000000"/>
          <w:sz w:val="20"/>
          <w:szCs w:val="20"/>
        </w:rPr>
        <w:t>molasess</w:t>
      </w:r>
      <w:r w:rsidRPr="004D10CB">
        <w:rPr>
          <w:color w:val="000000"/>
          <w:sz w:val="20"/>
          <w:szCs w:val="20"/>
        </w:rPr>
        <w:t>).</w:t>
      </w:r>
      <w:r w:rsidRPr="004D10CB">
        <w:rPr>
          <w:i/>
          <w:iCs/>
          <w:color w:val="000000"/>
          <w:sz w:val="20"/>
          <w:szCs w:val="20"/>
        </w:rPr>
        <w:t xml:space="preserve"> </w:t>
      </w:r>
      <w:r w:rsidRPr="004D10CB">
        <w:rPr>
          <w:color w:val="000000"/>
          <w:sz w:val="20"/>
          <w:szCs w:val="20"/>
        </w:rPr>
        <w:t xml:space="preserve">Angka konsumsi MSG di Indonesia terjadi peningkatan setiap tahunnya, hal ini ditunjukkan dari jumlah </w:t>
      </w:r>
      <w:r w:rsidRPr="004D10CB">
        <w:rPr>
          <w:sz w:val="20"/>
          <w:szCs w:val="18"/>
        </w:rPr>
        <w:t>produksi MSG pada negara Indonesia yang mencapai angka 254.900 ton per tahunnya</w:t>
      </w:r>
      <w:r w:rsidRPr="004D10CB">
        <w:rPr>
          <w:color w:val="000000"/>
        </w:rPr>
        <w:t xml:space="preserve"> </w:t>
      </w:r>
      <w:r w:rsidRPr="004D10CB">
        <w:rPr>
          <w:color w:val="000000"/>
          <w:sz w:val="20"/>
          <w:szCs w:val="20"/>
        </w:rPr>
        <w:t xml:space="preserve">dengan </w:t>
      </w:r>
      <w:r w:rsidRPr="004D10CB">
        <w:rPr>
          <w:sz w:val="20"/>
          <w:szCs w:val="18"/>
        </w:rPr>
        <w:t>rata – rata konsumsi hingga 24,1% per tahun</w:t>
      </w:r>
      <w:r w:rsidR="002150E3">
        <w:rPr>
          <w:rFonts w:ascii="TimesNewRomanPSMT" w:hAnsi="TimesNewRomanPSMT"/>
          <w:color w:val="000000"/>
          <w:sz w:val="20"/>
          <w:szCs w:val="20"/>
          <w:vertAlign w:val="superscript"/>
        </w:rPr>
        <w:t>(2)</w:t>
      </w:r>
      <w:r w:rsidRPr="004D10CB">
        <w:rPr>
          <w:sz w:val="20"/>
          <w:szCs w:val="18"/>
        </w:rPr>
        <w:t xml:space="preserve">. </w:t>
      </w:r>
      <w:r w:rsidRPr="004D10CB">
        <w:rPr>
          <w:color w:val="000000"/>
          <w:sz w:val="20"/>
          <w:szCs w:val="20"/>
        </w:rPr>
        <w:t>Nilai ambang batas ADI (</w:t>
      </w:r>
      <w:r w:rsidRPr="004D10CB">
        <w:rPr>
          <w:i/>
          <w:iCs/>
          <w:color w:val="000000"/>
          <w:sz w:val="20"/>
          <w:szCs w:val="20"/>
        </w:rPr>
        <w:t>Acceptable daily intake</w:t>
      </w:r>
      <w:r w:rsidRPr="004D10CB">
        <w:rPr>
          <w:color w:val="000000"/>
          <w:sz w:val="20"/>
          <w:szCs w:val="20"/>
        </w:rPr>
        <w:t xml:space="preserve">) yang telah ditentukan oleh </w:t>
      </w:r>
      <w:r w:rsidRPr="004D10CB">
        <w:rPr>
          <w:i/>
          <w:iCs/>
          <w:color w:val="000000"/>
          <w:sz w:val="20"/>
          <w:szCs w:val="20"/>
        </w:rPr>
        <w:t xml:space="preserve">World Health Organization </w:t>
      </w:r>
      <w:r w:rsidRPr="004D10CB">
        <w:rPr>
          <w:color w:val="000000"/>
          <w:sz w:val="20"/>
          <w:szCs w:val="20"/>
        </w:rPr>
        <w:t xml:space="preserve">(WHO) serta </w:t>
      </w:r>
      <w:r w:rsidRPr="004D10CB">
        <w:rPr>
          <w:i/>
          <w:iCs/>
          <w:color w:val="000000"/>
          <w:sz w:val="20"/>
          <w:szCs w:val="20"/>
        </w:rPr>
        <w:t xml:space="preserve">Food Additive Organization </w:t>
      </w:r>
      <w:r w:rsidRPr="004D10CB">
        <w:rPr>
          <w:color w:val="000000"/>
          <w:sz w:val="20"/>
          <w:szCs w:val="20"/>
        </w:rPr>
        <w:t>(FAO) yaitu sebesar 120 mg/kg berat badan/hari</w:t>
      </w:r>
      <w:r w:rsidR="002150E3">
        <w:rPr>
          <w:rFonts w:ascii="TimesNewRomanPSMT" w:hAnsi="TimesNewRomanPSMT"/>
          <w:color w:val="000000"/>
          <w:sz w:val="20"/>
          <w:szCs w:val="20"/>
          <w:vertAlign w:val="superscript"/>
        </w:rPr>
        <w:t>(3)</w:t>
      </w:r>
      <w:r w:rsidR="002150E3" w:rsidRPr="002C3C2E">
        <w:rPr>
          <w:rFonts w:ascii="TimesNewRomanPSMT" w:hAnsi="TimesNewRomanPSMT"/>
          <w:color w:val="000000"/>
          <w:sz w:val="20"/>
          <w:szCs w:val="20"/>
        </w:rPr>
        <w:t>.</w:t>
      </w:r>
      <w:r w:rsidRPr="004D10CB">
        <w:rPr>
          <w:sz w:val="20"/>
          <w:szCs w:val="20"/>
        </w:rPr>
        <w:t xml:space="preserve"> Sedangkan berdasarkan aturan </w:t>
      </w:r>
      <w:r w:rsidRPr="004D10CB">
        <w:rPr>
          <w:sz w:val="20"/>
          <w:szCs w:val="18"/>
        </w:rPr>
        <w:t>Kementrian Kesehatan penggunaan MSG maksimal 1-2 sendok teh/hari, dalam 1 sendok teh setara dengan 4-6 gram</w:t>
      </w:r>
      <w:r w:rsidR="002150E3">
        <w:rPr>
          <w:rFonts w:ascii="TimesNewRomanPSMT" w:hAnsi="TimesNewRomanPSMT"/>
          <w:color w:val="000000"/>
          <w:sz w:val="20"/>
          <w:szCs w:val="20"/>
          <w:vertAlign w:val="superscript"/>
        </w:rPr>
        <w:t>(4)</w:t>
      </w:r>
      <w:r w:rsidR="002150E3" w:rsidRPr="002C3C2E">
        <w:rPr>
          <w:rFonts w:ascii="TimesNewRomanPSMT" w:hAnsi="TimesNewRomanPSMT"/>
          <w:color w:val="000000"/>
          <w:sz w:val="20"/>
          <w:szCs w:val="20"/>
        </w:rPr>
        <w:t>.</w:t>
      </w:r>
      <w:r w:rsidRPr="004D10CB">
        <w:rPr>
          <w:sz w:val="20"/>
          <w:szCs w:val="18"/>
        </w:rPr>
        <w:t xml:space="preserve"> Angka rata - rata konsumsi MSG per hari pada negara Indonesia sebanyak 0,6 g/hari </w:t>
      </w:r>
      <w:r w:rsidRPr="004D10CB">
        <w:rPr>
          <w:color w:val="000000"/>
          <w:sz w:val="20"/>
          <w:szCs w:val="20"/>
        </w:rPr>
        <w:t>menjadi keraguan dikarenakan</w:t>
      </w:r>
      <w:r w:rsidRPr="004D10CB">
        <w:rPr>
          <w:sz w:val="20"/>
          <w:szCs w:val="18"/>
        </w:rPr>
        <w:t xml:space="preserve"> t</w:t>
      </w:r>
      <w:r w:rsidRPr="004D10CB">
        <w:rPr>
          <w:color w:val="000000"/>
          <w:sz w:val="20"/>
          <w:szCs w:val="20"/>
        </w:rPr>
        <w:t>idak adanya pelabelan yang pasti mengenai kandungan MSG dalam makanan terutama pada makanan yang dibeli dari luar seperti makanan berkuah sehingga, menyebabkan penggunaanya tidak disadari oleh konsumen. Kondisi tersebut diperparah dengan konsumsi MSG hampir setiap harinya</w:t>
      </w:r>
      <w:r w:rsidR="002150E3">
        <w:rPr>
          <w:rFonts w:ascii="TimesNewRomanPSMT" w:hAnsi="TimesNewRomanPSMT"/>
          <w:color w:val="000000"/>
          <w:sz w:val="20"/>
          <w:szCs w:val="20"/>
          <w:vertAlign w:val="superscript"/>
        </w:rPr>
        <w:t>(5)</w:t>
      </w:r>
      <w:r w:rsidR="002150E3" w:rsidRPr="002C3C2E">
        <w:rPr>
          <w:rFonts w:ascii="TimesNewRomanPSMT" w:hAnsi="TimesNewRomanPSMT"/>
          <w:color w:val="000000"/>
          <w:sz w:val="20"/>
          <w:szCs w:val="20"/>
        </w:rPr>
        <w:t>.</w:t>
      </w:r>
      <w:r w:rsidRPr="004D10CB">
        <w:rPr>
          <w:color w:val="000000"/>
          <w:sz w:val="20"/>
          <w:szCs w:val="20"/>
        </w:rPr>
        <w:t xml:space="preserve"> </w:t>
      </w:r>
    </w:p>
    <w:p w14:paraId="14F6D2CB" w14:textId="331C6B8D" w:rsidR="00A94A80" w:rsidRDefault="00CE495E" w:rsidP="00A860A7">
      <w:pPr>
        <w:pStyle w:val="ListParagraph"/>
        <w:tabs>
          <w:tab w:val="left" w:pos="567"/>
        </w:tabs>
        <w:spacing w:line="240" w:lineRule="auto"/>
        <w:ind w:left="0" w:firstLine="426"/>
        <w:jc w:val="both"/>
        <w:rPr>
          <w:sz w:val="20"/>
          <w:szCs w:val="20"/>
        </w:rPr>
      </w:pPr>
      <w:r w:rsidRPr="004D10CB">
        <w:rPr>
          <w:rStyle w:val="fontstyle01"/>
          <w:rFonts w:ascii="Times New Roman" w:hAnsi="Times New Roman"/>
          <w:sz w:val="20"/>
          <w:szCs w:val="20"/>
        </w:rPr>
        <w:tab/>
        <w:t xml:space="preserve">Menurut penelitian </w:t>
      </w:r>
      <w:r w:rsidRPr="004D10CB">
        <w:rPr>
          <w:rStyle w:val="fontstyle01"/>
          <w:rFonts w:ascii="Times New Roman" w:hAnsi="Times New Roman"/>
          <w:sz w:val="20"/>
          <w:szCs w:val="20"/>
        </w:rPr>
        <w:fldChar w:fldCharType="begin" w:fldLock="1"/>
      </w:r>
      <w:r w:rsidRPr="004D10CB">
        <w:rPr>
          <w:rStyle w:val="fontstyle01"/>
          <w:rFonts w:ascii="Times New Roman" w:hAnsi="Times New Roman"/>
          <w:sz w:val="20"/>
          <w:szCs w:val="20"/>
        </w:rPr>
        <w:instrText>ADDIN CSL_CITATION {"citationItems":[{"id":"ITEM-1","itemData":{"DOI":"10.1080/10942912.2017.1295260","ISSN":"15322386","abstract":"Monosodium glutamate is made up of nutritionally indispensable amino acids and used as flavour enhancer worldwide. Monosodium glutamate is believed to be associated with different health problems. This study is aimed to shed light on the available literature from last 25 years about different clinical trials which had been carried out on animal and human models regarding possible effects of monosodium glutamate. Google scholar, NCBI, PUBMED, EMBASE, Wangfang databases, and Web of Science databases were used to retrieve the available studies. Literature showed that monosodium glutamate was associated with adverse side-effects particularly in animals including induction of obesity, diabetes, hepatotoxic, neurotoxic and genotoxic effects. Different reports revealed increased hunger, food intake, and obesity in human subjects. Limited studies have been carried out on humans to check possible hepatotoxic, neurotoxic, and genotoxic effects of monosodium glutamate. Available literature showed that increased consumption of monosodium glutamate may be associated with harmful health effects. So, it is recommended to use common salt instead of it. Furthermore, intensive research is required to explore monosodium glutamate–related molecular and metabolic mechanisms.","author":[{"dropping-particle":"","family":"Kazmi","given":"Zehra","non-dropping-particle":"","parse-names":false,"suffix":""},{"dropping-particle":"","family":"Fatima","given":"Iffat","non-dropping-particle":"","parse-names":false,"suffix":""},{"dropping-particle":"","family":"Perveen","given":"Shaghufta","non-dropping-particle":"","parse-names":false,"suffix":""},{"dropping-particle":"","family":"Malik","given":"Saima Shakil","non-dropping-particle":"","parse-names":false,"suffix":""}],"container-title":"International Journal of Food Properties","id":"ITEM-1","issue":"2","issued":{"date-parts":[["2017"]]},"number-of-pages":"1807-1815","publisher":"Taylor &amp; Francis","title":"Monosodium glutamate: Review on clinical reports","type":"report","volume":"20"},"uris":["http://www.mendeley.com/documents/?uuid=044f1ec9-c19e-4e5e-a3a7-7f04908167be"]}],"mendeley":{"formattedCitation":"(Kazmi et al., 2017)","plainTextFormattedCitation":"(Kazmi et al., 2017)","previouslyFormattedCitation":"(Kazmi et al., 2017)"},"properties":{"noteIndex":0},"schema":"https://github.com/citation-style-language/schema/raw/master/csl-citation.json"}</w:instrText>
      </w:r>
      <w:r w:rsidRPr="004D10CB">
        <w:rPr>
          <w:rStyle w:val="fontstyle01"/>
          <w:rFonts w:ascii="Times New Roman" w:hAnsi="Times New Roman"/>
          <w:sz w:val="20"/>
          <w:szCs w:val="20"/>
        </w:rPr>
        <w:fldChar w:fldCharType="separate"/>
      </w:r>
      <w:r w:rsidRPr="004D10CB">
        <w:rPr>
          <w:rStyle w:val="fontstyle01"/>
          <w:rFonts w:ascii="Times New Roman" w:hAnsi="Times New Roman"/>
          <w:noProof/>
          <w:sz w:val="20"/>
          <w:szCs w:val="20"/>
        </w:rPr>
        <w:t xml:space="preserve">Kazmi et al., </w:t>
      </w:r>
      <w:r w:rsidR="0060699E">
        <w:rPr>
          <w:rStyle w:val="fontstyle01"/>
          <w:rFonts w:ascii="Times New Roman" w:hAnsi="Times New Roman"/>
          <w:noProof/>
          <w:sz w:val="20"/>
          <w:szCs w:val="20"/>
        </w:rPr>
        <w:t>(</w:t>
      </w:r>
      <w:r w:rsidRPr="004D10CB">
        <w:rPr>
          <w:rStyle w:val="fontstyle01"/>
          <w:rFonts w:ascii="Times New Roman" w:hAnsi="Times New Roman"/>
          <w:noProof/>
          <w:sz w:val="20"/>
          <w:szCs w:val="20"/>
        </w:rPr>
        <w:t>2017)</w:t>
      </w:r>
      <w:r w:rsidRPr="004D10CB">
        <w:rPr>
          <w:rStyle w:val="fontstyle01"/>
          <w:rFonts w:ascii="Times New Roman" w:hAnsi="Times New Roman"/>
          <w:sz w:val="20"/>
          <w:szCs w:val="20"/>
        </w:rPr>
        <w:fldChar w:fldCharType="end"/>
      </w:r>
      <w:r w:rsidR="002150E3">
        <w:rPr>
          <w:rFonts w:ascii="TimesNewRomanPSMT" w:hAnsi="TimesNewRomanPSMT"/>
          <w:color w:val="000000"/>
          <w:sz w:val="20"/>
          <w:szCs w:val="20"/>
          <w:vertAlign w:val="superscript"/>
        </w:rPr>
        <w:t>(6)</w:t>
      </w:r>
      <w:r w:rsidRPr="004D10CB">
        <w:rPr>
          <w:rStyle w:val="fontstyle01"/>
          <w:rFonts w:ascii="Times New Roman" w:hAnsi="Times New Roman"/>
          <w:sz w:val="20"/>
          <w:szCs w:val="20"/>
        </w:rPr>
        <w:t xml:space="preserve"> konsumsi MSG berlebih bisa mengakibatkan nekrosis di dalam neuron hipotalamus, </w:t>
      </w:r>
      <w:r w:rsidRPr="004D10CB">
        <w:rPr>
          <w:color w:val="000000"/>
          <w:sz w:val="20"/>
          <w:szCs w:val="20"/>
        </w:rPr>
        <w:t>nukleus arkuata hipotalamus, terjadi obesitas, penurunan aktivitas motorik dan sekresi hormon pertumbuhan,</w:t>
      </w:r>
      <w:r w:rsidRPr="004D10CB">
        <w:rPr>
          <w:rStyle w:val="fontstyle01"/>
          <w:rFonts w:ascii="Times New Roman" w:hAnsi="Times New Roman"/>
          <w:sz w:val="20"/>
          <w:szCs w:val="20"/>
        </w:rPr>
        <w:t xml:space="preserve"> sehingga MSG memiliki efek toksik bagi manusia maupun hewan coba.</w:t>
      </w:r>
      <w:r w:rsidR="00A860A7">
        <w:rPr>
          <w:rStyle w:val="fontstyle01"/>
          <w:rFonts w:ascii="Times New Roman" w:hAnsi="Times New Roman"/>
          <w:sz w:val="20"/>
          <w:szCs w:val="20"/>
        </w:rPr>
        <w:t xml:space="preserve"> </w:t>
      </w:r>
      <w:r w:rsidRPr="004D10CB">
        <w:rPr>
          <w:color w:val="000000"/>
          <w:sz w:val="20"/>
          <w:szCs w:val="20"/>
        </w:rPr>
        <w:t xml:space="preserve">Konsumsi MSG akan menghasilkan glutamat bebas yang dapat mengaktivasi reseptor glutamat secara berlebih sehingga, sebagian kecil terikat pada usus serta sebagaian besar dilepaskan ke dalam darah. Glutamat bebas inilah yang dapat menyebabkan peningkatan kadar glutamat plasma yang kemudian diedarkan ke seluruh tubuh dan menembus ke sawar darah-otak </w:t>
      </w:r>
      <w:r w:rsidRPr="004D10CB">
        <w:rPr>
          <w:i/>
          <w:iCs/>
          <w:color w:val="000000"/>
          <w:sz w:val="20"/>
          <w:szCs w:val="20"/>
        </w:rPr>
        <w:t>(blood-brain barrier)</w:t>
      </w:r>
      <w:r w:rsidRPr="004D10CB">
        <w:rPr>
          <w:color w:val="000000"/>
          <w:sz w:val="20"/>
          <w:szCs w:val="20"/>
        </w:rPr>
        <w:t>.</w:t>
      </w:r>
      <w:r>
        <w:rPr>
          <w:color w:val="000000"/>
          <w:sz w:val="20"/>
          <w:szCs w:val="20"/>
        </w:rPr>
        <w:t xml:space="preserve"> </w:t>
      </w:r>
      <w:r w:rsidRPr="004D10CB">
        <w:rPr>
          <w:sz w:val="20"/>
          <w:szCs w:val="20"/>
        </w:rPr>
        <w:t xml:space="preserve">Di dalam otak terdapat sawar darah berupa monosit kemudian berdiferensiasi menjadi makrofag salah satunya adalah </w:t>
      </w:r>
      <w:r w:rsidRPr="004D10CB">
        <w:rPr>
          <w:rStyle w:val="fontstyle01"/>
          <w:rFonts w:ascii="Times New Roman" w:hAnsi="Times New Roman"/>
          <w:sz w:val="20"/>
          <w:szCs w:val="20"/>
        </w:rPr>
        <w:t xml:space="preserve">mikroglia yang ialah fagosit </w:t>
      </w:r>
      <w:r w:rsidRPr="004D10CB">
        <w:rPr>
          <w:rStyle w:val="fontstyle21"/>
          <w:rFonts w:ascii="Times New Roman" w:hAnsi="Times New Roman"/>
          <w:sz w:val="20"/>
          <w:szCs w:val="20"/>
        </w:rPr>
        <w:t xml:space="preserve">mononuclear </w:t>
      </w:r>
      <w:r w:rsidRPr="004D10CB">
        <w:rPr>
          <w:rStyle w:val="fontstyle01"/>
          <w:rFonts w:ascii="Times New Roman" w:hAnsi="Times New Roman"/>
          <w:sz w:val="20"/>
          <w:szCs w:val="20"/>
        </w:rPr>
        <w:t xml:space="preserve">di dalam SSP. Mempunyai bermacam-macam </w:t>
      </w:r>
      <w:r w:rsidRPr="004D10CB">
        <w:rPr>
          <w:sz w:val="20"/>
          <w:szCs w:val="20"/>
          <w:shd w:val="clear" w:color="auto" w:fill="FFFFFF"/>
        </w:rPr>
        <w:t>fungsi seluler, seperti respon imun terhadap cedera dan infeksi, pembersihan debris di sinaps serta menjalankan fungsi homeostasis</w:t>
      </w:r>
      <w:r w:rsidR="00BA0D7D">
        <w:rPr>
          <w:rFonts w:ascii="TimesNewRomanPSMT" w:hAnsi="TimesNewRomanPSMT"/>
          <w:color w:val="000000"/>
          <w:sz w:val="20"/>
          <w:szCs w:val="20"/>
          <w:vertAlign w:val="superscript"/>
        </w:rPr>
        <w:t>(7)</w:t>
      </w:r>
      <w:r w:rsidR="00BA0D7D" w:rsidRPr="002C3C2E">
        <w:rPr>
          <w:rFonts w:ascii="TimesNewRomanPSMT" w:hAnsi="TimesNewRomanPSMT"/>
          <w:color w:val="000000"/>
          <w:sz w:val="20"/>
          <w:szCs w:val="20"/>
        </w:rPr>
        <w:t>.</w:t>
      </w:r>
      <w:r w:rsidRPr="004D10CB">
        <w:rPr>
          <w:rStyle w:val="fontstyle01"/>
          <w:rFonts w:ascii="Times New Roman" w:hAnsi="Times New Roman"/>
          <w:sz w:val="20"/>
          <w:szCs w:val="20"/>
        </w:rPr>
        <w:t xml:space="preserve"> </w:t>
      </w:r>
      <w:bookmarkStart w:id="0" w:name="_Hlk58282552"/>
      <w:r w:rsidRPr="004D10CB">
        <w:rPr>
          <w:color w:val="000000"/>
          <w:sz w:val="20"/>
          <w:szCs w:val="20"/>
        </w:rPr>
        <w:t xml:space="preserve">Makrofag memproduksi </w:t>
      </w:r>
      <w:r w:rsidRPr="004D10CB">
        <w:rPr>
          <w:i/>
          <w:iCs/>
          <w:color w:val="000000"/>
          <w:sz w:val="20"/>
          <w:szCs w:val="20"/>
        </w:rPr>
        <w:t xml:space="preserve">Prostaglandin </w:t>
      </w:r>
      <w:r w:rsidRPr="004D10CB">
        <w:rPr>
          <w:color w:val="000000"/>
          <w:sz w:val="20"/>
          <w:szCs w:val="20"/>
        </w:rPr>
        <w:t xml:space="preserve">(PGE) melalui aktivitas enzim </w:t>
      </w:r>
      <w:r w:rsidRPr="004D10CB">
        <w:rPr>
          <w:i/>
          <w:iCs/>
          <w:color w:val="000000"/>
          <w:sz w:val="20"/>
          <w:szCs w:val="20"/>
        </w:rPr>
        <w:t>Siklooksigenase</w:t>
      </w:r>
      <w:r w:rsidRPr="004D10CB">
        <w:rPr>
          <w:color w:val="000000"/>
          <w:sz w:val="20"/>
          <w:szCs w:val="20"/>
        </w:rPr>
        <w:t xml:space="preserve"> (COX). PGE memicu makrofag untuk meningkatkan produksi Nitrit Oksida (NO) sehingga terjadi kelebihan jumlah produksi NO. Produksi NO berlebih dapat mempengaruhi  viablitas sel monosit karena akibat paparan NO terus menerus menyebabkan kerusakan membran sel monosit sehingga menyebabkan viabilitas sel menjadi rendah</w:t>
      </w:r>
      <w:bookmarkEnd w:id="0"/>
      <w:r w:rsidR="00BA0D7D">
        <w:rPr>
          <w:rFonts w:ascii="TimesNewRomanPSMT" w:hAnsi="TimesNewRomanPSMT"/>
          <w:color w:val="000000"/>
          <w:sz w:val="20"/>
          <w:szCs w:val="20"/>
          <w:vertAlign w:val="superscript"/>
        </w:rPr>
        <w:t>(8)</w:t>
      </w:r>
      <w:r w:rsidRPr="004D10CB">
        <w:rPr>
          <w:color w:val="000000"/>
          <w:sz w:val="20"/>
          <w:szCs w:val="20"/>
        </w:rPr>
        <w:t>.</w:t>
      </w:r>
      <w:r w:rsidR="00A860A7">
        <w:rPr>
          <w:color w:val="000000"/>
          <w:sz w:val="20"/>
          <w:szCs w:val="20"/>
        </w:rPr>
        <w:t xml:space="preserve"> </w:t>
      </w:r>
      <w:r w:rsidR="00A860A7">
        <w:rPr>
          <w:sz w:val="20"/>
          <w:szCs w:val="20"/>
        </w:rPr>
        <w:t>P</w:t>
      </w:r>
      <w:r w:rsidRPr="004D10CB">
        <w:rPr>
          <w:sz w:val="20"/>
          <w:szCs w:val="20"/>
        </w:rPr>
        <w:t xml:space="preserve">enggunaan MSG yang tidak terkontrol di Indonesia dalam jangka waktu panjang dapat menyebabkan efek toksik bagi tubuh akibat adanya akumulasi glutamat </w:t>
      </w:r>
      <w:r w:rsidRPr="004D10CB">
        <w:rPr>
          <w:color w:val="000000"/>
          <w:sz w:val="20"/>
          <w:szCs w:val="20"/>
        </w:rPr>
        <w:t xml:space="preserve">sehingga mempengaruhi kerja sistem imun terutama pada sistem imun bawaan dan menyebabkan stress oksidatif. </w:t>
      </w:r>
      <w:r w:rsidR="00A860A7">
        <w:rPr>
          <w:color w:val="000000"/>
          <w:sz w:val="20"/>
          <w:szCs w:val="20"/>
        </w:rPr>
        <w:t>Sehingga, perlu di</w:t>
      </w:r>
      <w:r w:rsidRPr="004D10CB">
        <w:rPr>
          <w:color w:val="000000"/>
          <w:sz w:val="20"/>
          <w:szCs w:val="20"/>
        </w:rPr>
        <w:t xml:space="preserve">lakukan </w:t>
      </w:r>
      <w:r w:rsidRPr="004D10CB">
        <w:rPr>
          <w:sz w:val="20"/>
          <w:szCs w:val="20"/>
        </w:rPr>
        <w:t xml:space="preserve">penelitian mengenai pengaruh paparan MSG terhadap viabilitas sel monosit secara </w:t>
      </w:r>
      <w:r w:rsidRPr="004D10CB">
        <w:rPr>
          <w:i/>
          <w:iCs/>
          <w:sz w:val="20"/>
          <w:szCs w:val="20"/>
        </w:rPr>
        <w:t>in vitro</w:t>
      </w:r>
      <w:r w:rsidRPr="004D10CB">
        <w:rPr>
          <w:sz w:val="20"/>
          <w:szCs w:val="20"/>
        </w:rPr>
        <w:t>.</w:t>
      </w:r>
    </w:p>
    <w:p w14:paraId="6456C262" w14:textId="77777777" w:rsidR="00A860A7" w:rsidRPr="00BC6449" w:rsidRDefault="00A860A7" w:rsidP="00A860A7">
      <w:pPr>
        <w:pStyle w:val="ListParagraph"/>
        <w:tabs>
          <w:tab w:val="left" w:pos="567"/>
        </w:tabs>
        <w:spacing w:line="240" w:lineRule="auto"/>
        <w:ind w:left="0" w:firstLine="426"/>
        <w:jc w:val="both"/>
        <w:rPr>
          <w:rStyle w:val="Emphasis"/>
          <w:i w:val="0"/>
          <w:iCs w:val="0"/>
          <w:color w:val="000000"/>
          <w:sz w:val="20"/>
          <w:szCs w:val="20"/>
        </w:rPr>
      </w:pPr>
    </w:p>
    <w:p w14:paraId="3C5F8AB1" w14:textId="77777777" w:rsidR="00A94A80" w:rsidRPr="00B86FE0" w:rsidRDefault="00A94A80" w:rsidP="00A94A80">
      <w:pPr>
        <w:jc w:val="both"/>
        <w:rPr>
          <w:b/>
          <w:sz w:val="20"/>
          <w:szCs w:val="20"/>
        </w:rPr>
      </w:pPr>
      <w:r w:rsidRPr="00B86FE0">
        <w:rPr>
          <w:b/>
          <w:sz w:val="20"/>
          <w:szCs w:val="20"/>
        </w:rPr>
        <w:t>METODE</w:t>
      </w:r>
    </w:p>
    <w:p w14:paraId="38587780" w14:textId="77777777" w:rsidR="00A94A80" w:rsidRPr="00221865" w:rsidRDefault="00A94A80" w:rsidP="00A94A80">
      <w:pPr>
        <w:jc w:val="both"/>
        <w:rPr>
          <w:sz w:val="20"/>
          <w:szCs w:val="20"/>
        </w:rPr>
      </w:pPr>
    </w:p>
    <w:p w14:paraId="0EC46025" w14:textId="77777777" w:rsidR="00230D2E" w:rsidRDefault="00230D2E" w:rsidP="00230D2E">
      <w:pPr>
        <w:pStyle w:val="ListParagraph"/>
        <w:spacing w:line="240" w:lineRule="auto"/>
        <w:ind w:left="0" w:firstLine="426"/>
        <w:jc w:val="both"/>
        <w:rPr>
          <w:sz w:val="20"/>
          <w:szCs w:val="20"/>
        </w:rPr>
      </w:pPr>
      <w:r>
        <w:rPr>
          <w:sz w:val="20"/>
          <w:szCs w:val="20"/>
        </w:rPr>
        <w:t>Jenis p</w:t>
      </w:r>
      <w:r w:rsidR="00BC6449">
        <w:rPr>
          <w:sz w:val="20"/>
          <w:szCs w:val="20"/>
        </w:rPr>
        <w:t xml:space="preserve">enelitian ini </w:t>
      </w:r>
      <w:r>
        <w:rPr>
          <w:sz w:val="20"/>
          <w:szCs w:val="20"/>
        </w:rPr>
        <w:t>adalah</w:t>
      </w:r>
      <w:r w:rsidR="00BC6449">
        <w:rPr>
          <w:sz w:val="20"/>
          <w:szCs w:val="20"/>
        </w:rPr>
        <w:t xml:space="preserve"> </w:t>
      </w:r>
      <w:r w:rsidR="00BC6449" w:rsidRPr="00BC6449">
        <w:rPr>
          <w:sz w:val="20"/>
          <w:szCs w:val="20"/>
        </w:rPr>
        <w:t xml:space="preserve">eksperimental laboratoris </w:t>
      </w:r>
      <w:r w:rsidR="00BC6449" w:rsidRPr="00BC6449">
        <w:rPr>
          <w:i/>
          <w:iCs/>
          <w:sz w:val="20"/>
          <w:szCs w:val="20"/>
        </w:rPr>
        <w:t>in vitro</w:t>
      </w:r>
      <w:r w:rsidR="00BC6449" w:rsidRPr="00BC6449">
        <w:rPr>
          <w:sz w:val="16"/>
          <w:szCs w:val="16"/>
        </w:rPr>
        <w:t xml:space="preserve"> </w:t>
      </w:r>
      <w:r w:rsidR="00BC6449">
        <w:rPr>
          <w:sz w:val="20"/>
          <w:szCs w:val="20"/>
        </w:rPr>
        <w:t xml:space="preserve">dengan rancangan </w:t>
      </w:r>
      <w:r w:rsidR="00BC6449" w:rsidRPr="00BC6449">
        <w:rPr>
          <w:i/>
          <w:iCs/>
          <w:sz w:val="20"/>
          <w:szCs w:val="20"/>
        </w:rPr>
        <w:t xml:space="preserve">Post test only control group design </w:t>
      </w:r>
      <w:r w:rsidR="00BC6449">
        <w:rPr>
          <w:sz w:val="20"/>
          <w:szCs w:val="20"/>
        </w:rPr>
        <w:t>yaitu</w:t>
      </w:r>
      <w:r w:rsidR="00BC6449" w:rsidRPr="00BC6449">
        <w:rPr>
          <w:sz w:val="20"/>
          <w:szCs w:val="20"/>
        </w:rPr>
        <w:t xml:space="preserve"> melakukan pengukuran pada kelompok perlakuan kemudian membandingkannya dengan kelompok kontrol</w:t>
      </w:r>
      <w:r w:rsidR="002D583D">
        <w:rPr>
          <w:sz w:val="20"/>
          <w:szCs w:val="20"/>
        </w:rPr>
        <w:t>. Penelitian ini dilakukan di</w:t>
      </w:r>
      <w:r w:rsidR="002D583D" w:rsidRPr="002D583D">
        <w:rPr>
          <w:sz w:val="24"/>
          <w:szCs w:val="24"/>
        </w:rPr>
        <w:t xml:space="preserve"> </w:t>
      </w:r>
      <w:r w:rsidR="002D583D" w:rsidRPr="002D583D">
        <w:rPr>
          <w:sz w:val="20"/>
          <w:szCs w:val="20"/>
        </w:rPr>
        <w:t>Pusat Penelitian dan Pengembangan Stem Cell Universitas Airlanga</w:t>
      </w:r>
      <w:r w:rsidR="002D583D">
        <w:rPr>
          <w:sz w:val="20"/>
          <w:szCs w:val="20"/>
        </w:rPr>
        <w:t xml:space="preserve"> pada </w:t>
      </w:r>
      <w:r>
        <w:rPr>
          <w:sz w:val="20"/>
          <w:szCs w:val="20"/>
        </w:rPr>
        <w:t xml:space="preserve">bulan </w:t>
      </w:r>
      <w:r w:rsidR="002D583D">
        <w:rPr>
          <w:sz w:val="20"/>
          <w:szCs w:val="20"/>
        </w:rPr>
        <w:t xml:space="preserve">Januari – Mei 2021. </w:t>
      </w:r>
    </w:p>
    <w:p w14:paraId="1762B713" w14:textId="7C41DD4E" w:rsidR="004E58FD" w:rsidRDefault="002D583D" w:rsidP="00230D2E">
      <w:pPr>
        <w:pStyle w:val="ListParagraph"/>
        <w:spacing w:line="240" w:lineRule="auto"/>
        <w:ind w:left="0" w:firstLine="426"/>
        <w:jc w:val="both"/>
        <w:rPr>
          <w:sz w:val="20"/>
          <w:szCs w:val="20"/>
        </w:rPr>
      </w:pPr>
      <w:r w:rsidRPr="002D583D">
        <w:rPr>
          <w:sz w:val="20"/>
          <w:szCs w:val="18"/>
        </w:rPr>
        <w:t xml:space="preserve">Bahan uji </w:t>
      </w:r>
      <w:r w:rsidRPr="002D583D">
        <w:rPr>
          <w:color w:val="222222"/>
          <w:sz w:val="20"/>
          <w:szCs w:val="20"/>
          <w:shd w:val="clear" w:color="auto" w:fill="FFFFFF"/>
        </w:rPr>
        <w:t xml:space="preserve">penelitian ini </w:t>
      </w:r>
      <w:r w:rsidR="00230D2E">
        <w:rPr>
          <w:color w:val="222222"/>
          <w:sz w:val="20"/>
          <w:szCs w:val="20"/>
          <w:shd w:val="clear" w:color="auto" w:fill="FFFFFF"/>
        </w:rPr>
        <w:t>adalah</w:t>
      </w:r>
      <w:r w:rsidRPr="002D583D">
        <w:rPr>
          <w:color w:val="222222"/>
          <w:sz w:val="20"/>
          <w:szCs w:val="20"/>
          <w:shd w:val="clear" w:color="auto" w:fill="FFFFFF"/>
        </w:rPr>
        <w:t xml:space="preserve"> darah vena perifer mahasiswa </w:t>
      </w:r>
      <w:r w:rsidR="00230D2E">
        <w:rPr>
          <w:color w:val="222222"/>
          <w:sz w:val="20"/>
          <w:szCs w:val="20"/>
          <w:shd w:val="clear" w:color="auto" w:fill="FFFFFF"/>
        </w:rPr>
        <w:t>Prodi Sarjana Terapan kelas</w:t>
      </w:r>
      <w:r w:rsidRPr="002D583D">
        <w:rPr>
          <w:color w:val="222222"/>
          <w:sz w:val="20"/>
          <w:szCs w:val="20"/>
          <w:shd w:val="clear" w:color="auto" w:fill="FFFFFF"/>
        </w:rPr>
        <w:t xml:space="preserve"> </w:t>
      </w:r>
      <w:r w:rsidR="00230D2E">
        <w:rPr>
          <w:color w:val="222222"/>
          <w:sz w:val="20"/>
          <w:szCs w:val="20"/>
          <w:shd w:val="clear" w:color="auto" w:fill="FFFFFF"/>
        </w:rPr>
        <w:t>R</w:t>
      </w:r>
      <w:r w:rsidRPr="002D583D">
        <w:rPr>
          <w:color w:val="222222"/>
          <w:sz w:val="20"/>
          <w:szCs w:val="20"/>
          <w:shd w:val="clear" w:color="auto" w:fill="FFFFFF"/>
        </w:rPr>
        <w:t xml:space="preserve">egular angkatan tahun 2017 </w:t>
      </w:r>
      <w:r w:rsidR="00230D2E">
        <w:rPr>
          <w:color w:val="222222"/>
          <w:sz w:val="20"/>
          <w:szCs w:val="20"/>
          <w:shd w:val="clear" w:color="auto" w:fill="FFFFFF"/>
        </w:rPr>
        <w:t>J</w:t>
      </w:r>
      <w:r w:rsidRPr="002D583D">
        <w:rPr>
          <w:color w:val="222222"/>
          <w:sz w:val="20"/>
          <w:szCs w:val="20"/>
          <w:shd w:val="clear" w:color="auto" w:fill="FFFFFF"/>
        </w:rPr>
        <w:t>urusan TLM</w:t>
      </w:r>
      <w:r>
        <w:rPr>
          <w:color w:val="222222"/>
          <w:sz w:val="20"/>
          <w:szCs w:val="20"/>
          <w:shd w:val="clear" w:color="auto" w:fill="FFFFFF"/>
        </w:rPr>
        <w:t xml:space="preserve"> </w:t>
      </w:r>
      <w:r w:rsidRPr="002D583D">
        <w:rPr>
          <w:sz w:val="20"/>
          <w:szCs w:val="20"/>
        </w:rPr>
        <w:t xml:space="preserve">dengan kriteria inklusi tidak merokok, tidak mempunyai penyakit sistemik dan kelainan darah, serta telah menandatangi </w:t>
      </w:r>
      <w:r w:rsidRPr="002D583D">
        <w:rPr>
          <w:i/>
          <w:iCs/>
          <w:sz w:val="20"/>
          <w:szCs w:val="20"/>
        </w:rPr>
        <w:t>informed consent</w:t>
      </w:r>
      <w:r w:rsidRPr="002D583D">
        <w:rPr>
          <w:sz w:val="20"/>
          <w:szCs w:val="20"/>
        </w:rPr>
        <w:t xml:space="preserve"> dan </w:t>
      </w:r>
      <w:r w:rsidRPr="002D583D">
        <w:rPr>
          <w:rStyle w:val="fontstyle01"/>
          <w:sz w:val="20"/>
          <w:szCs w:val="20"/>
        </w:rPr>
        <w:t>memenuhi syarat kelayakan etik pada penelitian ini.</w:t>
      </w:r>
      <w:r w:rsidR="00230D2E">
        <w:rPr>
          <w:rStyle w:val="fontstyle01"/>
          <w:sz w:val="20"/>
          <w:szCs w:val="20"/>
        </w:rPr>
        <w:t xml:space="preserve"> </w:t>
      </w:r>
      <w:r w:rsidRPr="00CE495E">
        <w:rPr>
          <w:sz w:val="20"/>
          <w:szCs w:val="20"/>
        </w:rPr>
        <w:t>Sebanyak 10</w:t>
      </w:r>
      <w:r w:rsidR="00A860A7">
        <w:rPr>
          <w:sz w:val="20"/>
          <w:szCs w:val="20"/>
        </w:rPr>
        <w:t xml:space="preserve"> </w:t>
      </w:r>
      <w:r w:rsidRPr="00CE495E">
        <w:rPr>
          <w:sz w:val="20"/>
          <w:szCs w:val="20"/>
        </w:rPr>
        <w:t xml:space="preserve">cc darah vena perifer diisolasi menggunakan metode sentrifugasi gradien </w:t>
      </w:r>
      <w:r w:rsidRPr="00CE495E">
        <w:rPr>
          <w:i/>
          <w:iCs/>
          <w:sz w:val="20"/>
          <w:szCs w:val="20"/>
        </w:rPr>
        <w:t>ficoll</w:t>
      </w:r>
      <w:r w:rsidRPr="00CE495E">
        <w:rPr>
          <w:sz w:val="20"/>
          <w:szCs w:val="20"/>
        </w:rPr>
        <w:t xml:space="preserve">. Hasil isolat sel monosit dilakukan pemaparan dengan </w:t>
      </w:r>
      <w:r w:rsidRPr="00CE495E">
        <w:rPr>
          <w:i/>
          <w:iCs/>
          <w:sz w:val="20"/>
          <w:szCs w:val="20"/>
        </w:rPr>
        <w:t>Monosodium Glutamat</w:t>
      </w:r>
      <w:r w:rsidRPr="00CE495E">
        <w:rPr>
          <w:sz w:val="20"/>
          <w:szCs w:val="20"/>
        </w:rPr>
        <w:t xml:space="preserve"> (MSG) sesuai kelompok. Kelompok I: kontrol negatif, kelompok II : sel monosit + MSG 3%, kelompok III : sel monosit + MSG 6%, kelompok IV : sel monosit + MSG 9%. Selanjutnya diinkubasi selama 24 jam dengan </w:t>
      </w:r>
      <w:r w:rsidRPr="00CE495E">
        <w:rPr>
          <w:color w:val="000000"/>
          <w:sz w:val="20"/>
          <w:szCs w:val="20"/>
        </w:rPr>
        <w:t>dengan suhu 37</w:t>
      </w:r>
      <w:r w:rsidRPr="00CE495E">
        <w:rPr>
          <w:color w:val="000000"/>
          <w:sz w:val="20"/>
          <w:szCs w:val="20"/>
          <w:vertAlign w:val="superscript"/>
        </w:rPr>
        <w:t>o</w:t>
      </w:r>
      <w:r w:rsidRPr="00CE495E">
        <w:rPr>
          <w:color w:val="000000"/>
          <w:sz w:val="20"/>
          <w:szCs w:val="20"/>
        </w:rPr>
        <w:t>C dalam 5% CO</w:t>
      </w:r>
      <w:r w:rsidRPr="00CE495E">
        <w:rPr>
          <w:color w:val="000000"/>
          <w:sz w:val="20"/>
          <w:szCs w:val="20"/>
          <w:vertAlign w:val="subscript"/>
        </w:rPr>
        <w:t>2</w:t>
      </w:r>
      <w:r w:rsidRPr="00CE495E">
        <w:rPr>
          <w:color w:val="000000"/>
          <w:sz w:val="20"/>
          <w:szCs w:val="20"/>
        </w:rPr>
        <w:t>. Kemudian</w:t>
      </w:r>
      <w:r w:rsidR="00230D2E">
        <w:rPr>
          <w:color w:val="000000"/>
          <w:sz w:val="20"/>
          <w:szCs w:val="20"/>
        </w:rPr>
        <w:t>,</w:t>
      </w:r>
      <w:r w:rsidRPr="00CE495E">
        <w:rPr>
          <w:color w:val="000000"/>
          <w:sz w:val="20"/>
          <w:szCs w:val="20"/>
        </w:rPr>
        <w:t xml:space="preserve"> dilakukan uji viabilitas menggunakan pewarnaan </w:t>
      </w:r>
      <w:r w:rsidRPr="00CE495E">
        <w:rPr>
          <w:i/>
          <w:iCs/>
          <w:color w:val="000000"/>
          <w:sz w:val="20"/>
          <w:szCs w:val="20"/>
        </w:rPr>
        <w:t xml:space="preserve">trypan </w:t>
      </w:r>
      <w:r w:rsidRPr="00CE495E">
        <w:rPr>
          <w:color w:val="000000"/>
          <w:sz w:val="20"/>
          <w:szCs w:val="20"/>
        </w:rPr>
        <w:t xml:space="preserve">blue. Perhitungan viabilitas sel monosit dilakukan dibawah mikroskop </w:t>
      </w:r>
      <w:r w:rsidRPr="00CE495E">
        <w:rPr>
          <w:i/>
          <w:iCs/>
          <w:color w:val="000000"/>
          <w:sz w:val="20"/>
          <w:szCs w:val="20"/>
        </w:rPr>
        <w:t xml:space="preserve">inverted </w:t>
      </w:r>
      <w:r w:rsidRPr="00CE495E">
        <w:rPr>
          <w:color w:val="000000"/>
          <w:sz w:val="20"/>
          <w:szCs w:val="20"/>
        </w:rPr>
        <w:t>dengan perbesaran 400x per 100 sel</w:t>
      </w:r>
      <w:r w:rsidRPr="00CE495E">
        <w:rPr>
          <w:sz w:val="20"/>
          <w:szCs w:val="20"/>
        </w:rPr>
        <w:t xml:space="preserve">. </w:t>
      </w:r>
    </w:p>
    <w:p w14:paraId="415E718E" w14:textId="2008DDFD" w:rsidR="002D583D" w:rsidRDefault="002D583D" w:rsidP="00230D2E">
      <w:pPr>
        <w:pStyle w:val="ListParagraph"/>
        <w:spacing w:line="240" w:lineRule="auto"/>
        <w:ind w:left="0" w:firstLine="426"/>
        <w:jc w:val="both"/>
        <w:rPr>
          <w:sz w:val="20"/>
          <w:szCs w:val="20"/>
        </w:rPr>
      </w:pPr>
      <w:r w:rsidRPr="00CE495E">
        <w:rPr>
          <w:sz w:val="20"/>
          <w:szCs w:val="20"/>
        </w:rPr>
        <w:t xml:space="preserve">Data yang diperoleh dianalisis secara statistik </w:t>
      </w:r>
      <w:r w:rsidR="004E58FD" w:rsidRPr="004E58FD">
        <w:rPr>
          <w:rFonts w:ascii="Times-Roman" w:hAnsi="Times-Roman"/>
          <w:color w:val="000000"/>
          <w:sz w:val="20"/>
          <w:szCs w:val="20"/>
        </w:rPr>
        <w:t xml:space="preserve">menggunakan uji </w:t>
      </w:r>
      <w:r w:rsidR="004E58FD" w:rsidRPr="004E58FD">
        <w:rPr>
          <w:rFonts w:ascii="Times-Italic" w:hAnsi="Times-Italic"/>
          <w:i/>
          <w:iCs/>
          <w:color w:val="000000"/>
          <w:sz w:val="20"/>
          <w:szCs w:val="20"/>
        </w:rPr>
        <w:t xml:space="preserve">Kolmogorov-Smirnov </w:t>
      </w:r>
      <w:r w:rsidR="004E58FD" w:rsidRPr="004E58FD">
        <w:rPr>
          <w:rFonts w:ascii="Times-Italic" w:hAnsi="Times-Italic"/>
          <w:color w:val="000000"/>
          <w:sz w:val="20"/>
          <w:szCs w:val="20"/>
        </w:rPr>
        <w:t xml:space="preserve">yaitu </w:t>
      </w:r>
      <w:r w:rsidR="004E58FD" w:rsidRPr="004E58FD">
        <w:rPr>
          <w:rFonts w:ascii="Times-Roman" w:hAnsi="Times-Roman"/>
          <w:color w:val="000000"/>
          <w:sz w:val="20"/>
          <w:szCs w:val="20"/>
        </w:rPr>
        <w:t xml:space="preserve">untuk uji normalitas dan uji homogenitas menggunakan </w:t>
      </w:r>
      <w:r w:rsidR="004E58FD" w:rsidRPr="004E58FD">
        <w:rPr>
          <w:rFonts w:ascii="Times-Italic" w:hAnsi="Times-Italic"/>
          <w:i/>
          <w:iCs/>
          <w:color w:val="000000"/>
          <w:sz w:val="20"/>
          <w:szCs w:val="20"/>
        </w:rPr>
        <w:t>Levene test</w:t>
      </w:r>
      <w:r w:rsidR="004E58FD" w:rsidRPr="004E58FD">
        <w:rPr>
          <w:rFonts w:ascii="Times-Roman" w:hAnsi="Times-Roman"/>
          <w:color w:val="000000"/>
          <w:sz w:val="20"/>
          <w:szCs w:val="20"/>
        </w:rPr>
        <w:t>. Apabila data yang diperoleh berdistribusi normal dan homogen maka, dilakukan uji ANOVA</w:t>
      </w:r>
      <w:r w:rsidR="004E58FD" w:rsidRPr="004E58FD">
        <w:rPr>
          <w:rFonts w:ascii="Times-Italic" w:hAnsi="Times-Italic"/>
          <w:i/>
          <w:iCs/>
          <w:color w:val="000000"/>
          <w:sz w:val="20"/>
          <w:szCs w:val="20"/>
        </w:rPr>
        <w:t xml:space="preserve"> One Way</w:t>
      </w:r>
      <w:r w:rsidR="004E58FD" w:rsidRPr="004E58FD">
        <w:rPr>
          <w:rFonts w:ascii="Times-Roman" w:hAnsi="Times-Roman"/>
          <w:color w:val="000000"/>
          <w:sz w:val="20"/>
          <w:szCs w:val="20"/>
        </w:rPr>
        <w:t xml:space="preserve">. </w:t>
      </w:r>
      <w:r w:rsidR="004E58FD" w:rsidRPr="004E58FD">
        <w:rPr>
          <w:rFonts w:ascii="Times-Roman" w:hAnsi="Times-Roman" w:hint="eastAsia"/>
          <w:color w:val="000000"/>
          <w:sz w:val="20"/>
          <w:szCs w:val="20"/>
        </w:rPr>
        <w:t>A</w:t>
      </w:r>
      <w:r w:rsidR="004E58FD" w:rsidRPr="004E58FD">
        <w:rPr>
          <w:rFonts w:ascii="Times-Roman" w:hAnsi="Times-Roman"/>
          <w:color w:val="000000"/>
          <w:sz w:val="20"/>
          <w:szCs w:val="20"/>
        </w:rPr>
        <w:t>pabila terdapat</w:t>
      </w:r>
      <w:r w:rsidR="004E58FD" w:rsidRPr="004E58FD">
        <w:rPr>
          <w:sz w:val="20"/>
          <w:szCs w:val="20"/>
        </w:rPr>
        <w:t xml:space="preserve"> perbedaan bermakna maka, dilanjutkan dengan uji LSD</w:t>
      </w:r>
      <w:r w:rsidR="004E58FD" w:rsidRPr="004E58FD">
        <w:rPr>
          <w:rFonts w:ascii="Times-Roman" w:hAnsi="Times-Roman"/>
          <w:color w:val="000000"/>
          <w:sz w:val="20"/>
          <w:szCs w:val="20"/>
        </w:rPr>
        <w:t xml:space="preserve"> untuk mengetahui perbedaan tiap kelompok</w:t>
      </w:r>
      <w:r w:rsidR="004E58FD" w:rsidRPr="00DD583F">
        <w:rPr>
          <w:rFonts w:ascii="Times-Roman" w:hAnsi="Times-Roman"/>
          <w:color w:val="000000"/>
          <w:sz w:val="24"/>
          <w:szCs w:val="24"/>
        </w:rPr>
        <w:t>.</w:t>
      </w:r>
      <w:r w:rsidR="004E58FD">
        <w:rPr>
          <w:sz w:val="20"/>
          <w:szCs w:val="20"/>
        </w:rPr>
        <w:t xml:space="preserve"> Penelitian ini telah memenuhi syarat kelayakan etik yang telah dikeluarkan oleh komisi etik penelitian Kesehatan Poltekkes Kemenkes Surabaya No.EA/455/KEPK-Poltekkes_Sby/V/2021.</w:t>
      </w:r>
    </w:p>
    <w:p w14:paraId="55D23587" w14:textId="77777777" w:rsidR="008C6C75" w:rsidRDefault="008C6C75" w:rsidP="00A94A80">
      <w:pPr>
        <w:jc w:val="both"/>
        <w:rPr>
          <w:b/>
          <w:sz w:val="20"/>
          <w:szCs w:val="20"/>
        </w:rPr>
      </w:pPr>
    </w:p>
    <w:p w14:paraId="1D6667D5" w14:textId="77777777" w:rsidR="00A94A80" w:rsidRDefault="00A94A80" w:rsidP="00A94A80">
      <w:pPr>
        <w:jc w:val="both"/>
        <w:rPr>
          <w:b/>
          <w:sz w:val="20"/>
          <w:szCs w:val="20"/>
        </w:rPr>
      </w:pPr>
      <w:r>
        <w:rPr>
          <w:b/>
          <w:sz w:val="20"/>
          <w:szCs w:val="20"/>
        </w:rPr>
        <w:lastRenderedPageBreak/>
        <w:t>HASIL</w:t>
      </w:r>
    </w:p>
    <w:p w14:paraId="7CAA0B5A" w14:textId="77777777" w:rsidR="00A94A80" w:rsidRDefault="00A94A80" w:rsidP="00A94A80">
      <w:pPr>
        <w:jc w:val="both"/>
        <w:rPr>
          <w:b/>
          <w:sz w:val="20"/>
          <w:szCs w:val="20"/>
        </w:rPr>
      </w:pPr>
    </w:p>
    <w:p w14:paraId="3E6C8D29" w14:textId="7B5527A0" w:rsidR="001339D0" w:rsidRDefault="001339D0" w:rsidP="000468BE">
      <w:pPr>
        <w:ind w:firstLine="426"/>
        <w:jc w:val="both"/>
        <w:rPr>
          <w:sz w:val="20"/>
          <w:szCs w:val="20"/>
        </w:rPr>
      </w:pPr>
      <w:r w:rsidRPr="001339D0">
        <w:rPr>
          <w:sz w:val="20"/>
          <w:szCs w:val="20"/>
        </w:rPr>
        <w:t xml:space="preserve">Hasil </w:t>
      </w:r>
      <w:r w:rsidR="00230D2E">
        <w:rPr>
          <w:sz w:val="20"/>
          <w:szCs w:val="20"/>
        </w:rPr>
        <w:t xml:space="preserve">penelitian </w:t>
      </w:r>
      <w:r w:rsidRPr="001339D0">
        <w:rPr>
          <w:sz w:val="20"/>
          <w:szCs w:val="20"/>
        </w:rPr>
        <w:t>dari proses isolasi sel monosit berupa isolat sel monosit dengan jumlah sel sebanyak 5,1 x 10</w:t>
      </w:r>
      <w:r w:rsidRPr="001339D0">
        <w:rPr>
          <w:sz w:val="20"/>
          <w:szCs w:val="20"/>
          <w:vertAlign w:val="superscript"/>
        </w:rPr>
        <w:t>6</w:t>
      </w:r>
      <w:r w:rsidRPr="001339D0">
        <w:rPr>
          <w:sz w:val="20"/>
          <w:szCs w:val="20"/>
        </w:rPr>
        <w:t xml:space="preserve"> sel/mL. Pada proses isolasi sel monosit terbentuk empat lapisan yaitu plasma, sel monosit, </w:t>
      </w:r>
      <w:r w:rsidRPr="001339D0">
        <w:rPr>
          <w:i/>
          <w:iCs/>
          <w:sz w:val="20"/>
          <w:szCs w:val="20"/>
        </w:rPr>
        <w:t>ficoll hypaque</w:t>
      </w:r>
      <w:r w:rsidRPr="001339D0">
        <w:rPr>
          <w:sz w:val="20"/>
          <w:szCs w:val="20"/>
        </w:rPr>
        <w:t xml:space="preserve">, dan sel darah merah. Gambaran morfologi sel monosit tampak bulat seperti bola dan bersel tunggal  </w:t>
      </w:r>
      <w:r w:rsidR="00545C95">
        <w:rPr>
          <w:sz w:val="20"/>
          <w:szCs w:val="20"/>
        </w:rPr>
        <w:t xml:space="preserve">dapat dilihat pada </w:t>
      </w:r>
      <w:r w:rsidRPr="001339D0">
        <w:rPr>
          <w:sz w:val="20"/>
          <w:szCs w:val="20"/>
        </w:rPr>
        <w:t>gambar</w:t>
      </w:r>
      <w:r>
        <w:rPr>
          <w:sz w:val="20"/>
          <w:szCs w:val="20"/>
        </w:rPr>
        <w:t xml:space="preserve"> </w:t>
      </w:r>
      <w:r w:rsidR="00A860A7">
        <w:rPr>
          <w:sz w:val="20"/>
          <w:szCs w:val="20"/>
        </w:rPr>
        <w:t>1</w:t>
      </w:r>
      <w:r w:rsidR="00545C95">
        <w:rPr>
          <w:sz w:val="20"/>
          <w:szCs w:val="20"/>
        </w:rPr>
        <w:t xml:space="preserve"> dan hasil perhitungan viabilitas sel monosit yang dipapar MSG dapat dilihat pada Tabel 1 dan dalam bentuk grafik juga dapat dilihat pada gambar 2</w:t>
      </w:r>
      <w:r w:rsidR="00A860A7">
        <w:rPr>
          <w:sz w:val="20"/>
          <w:szCs w:val="20"/>
        </w:rPr>
        <w:t xml:space="preserve"> sebagai </w:t>
      </w:r>
      <w:r>
        <w:rPr>
          <w:sz w:val="20"/>
          <w:szCs w:val="20"/>
        </w:rPr>
        <w:t>berikut</w:t>
      </w:r>
      <w:r w:rsidR="00A860A7">
        <w:rPr>
          <w:sz w:val="20"/>
          <w:szCs w:val="20"/>
        </w:rPr>
        <w:t>.</w:t>
      </w:r>
    </w:p>
    <w:p w14:paraId="2BAEBA90" w14:textId="77777777" w:rsidR="00A860A7" w:rsidRDefault="00A860A7" w:rsidP="00A94A80">
      <w:pPr>
        <w:ind w:firstLine="567"/>
        <w:jc w:val="both"/>
        <w:rPr>
          <w:sz w:val="20"/>
          <w:szCs w:val="20"/>
        </w:rPr>
      </w:pPr>
    </w:p>
    <w:p w14:paraId="1A7EF6D8" w14:textId="25BA27E4" w:rsidR="001339D0" w:rsidRDefault="007D77F5" w:rsidP="001339D0">
      <w:pPr>
        <w:ind w:firstLine="567"/>
        <w:jc w:val="center"/>
        <w:rPr>
          <w:sz w:val="20"/>
          <w:szCs w:val="20"/>
        </w:rPr>
      </w:pPr>
      <w:r>
        <w:rPr>
          <w:noProof/>
        </w:rPr>
        <mc:AlternateContent>
          <mc:Choice Requires="wps">
            <w:drawing>
              <wp:anchor distT="0" distB="0" distL="114300" distR="114300" simplePos="0" relativeHeight="251673600" behindDoc="0" locked="0" layoutInCell="1" allowOverlap="1" wp14:anchorId="71992553" wp14:editId="279693A0">
                <wp:simplePos x="0" y="0"/>
                <wp:positionH relativeFrom="column">
                  <wp:posOffset>2316618</wp:posOffset>
                </wp:positionH>
                <wp:positionV relativeFrom="paragraph">
                  <wp:posOffset>1363511</wp:posOffset>
                </wp:positionV>
                <wp:extent cx="747920" cy="445273"/>
                <wp:effectExtent l="0" t="0" r="14605" b="12065"/>
                <wp:wrapNone/>
                <wp:docPr id="62" name="Text Box 62"/>
                <wp:cNvGraphicFramePr/>
                <a:graphic xmlns:a="http://schemas.openxmlformats.org/drawingml/2006/main">
                  <a:graphicData uri="http://schemas.microsoft.com/office/word/2010/wordprocessingShape">
                    <wps:wsp>
                      <wps:cNvSpPr txBox="1"/>
                      <wps:spPr>
                        <a:xfrm>
                          <a:off x="0" y="0"/>
                          <a:ext cx="747920" cy="445273"/>
                        </a:xfrm>
                        <a:prstGeom prst="rect">
                          <a:avLst/>
                        </a:prstGeom>
                        <a:solidFill>
                          <a:schemeClr val="lt1"/>
                        </a:solidFill>
                        <a:ln w="6350">
                          <a:solidFill>
                            <a:schemeClr val="bg1"/>
                          </a:solidFill>
                        </a:ln>
                      </wps:spPr>
                      <wps:txbx>
                        <w:txbxContent>
                          <w:p w14:paraId="677259BD" w14:textId="77777777" w:rsidR="007D77F5" w:rsidRPr="0098058C" w:rsidRDefault="007D77F5" w:rsidP="007D77F5">
                            <w:pPr>
                              <w:jc w:val="center"/>
                              <w:rPr>
                                <w:sz w:val="20"/>
                                <w:szCs w:val="20"/>
                              </w:rPr>
                            </w:pPr>
                            <w:r>
                              <w:rPr>
                                <w:sz w:val="20"/>
                                <w:szCs w:val="20"/>
                              </w:rPr>
                              <w:t>Sel darah merah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92553" id="_x0000_t202" coordsize="21600,21600" o:spt="202" path="m,l,21600r21600,l21600,xe">
                <v:stroke joinstyle="miter"/>
                <v:path gradientshapeok="t" o:connecttype="rect"/>
              </v:shapetype>
              <v:shape id="Text Box 62" o:spid="_x0000_s1026" type="#_x0000_t202" style="position:absolute;left:0;text-align:left;margin-left:182.4pt;margin-top:107.35pt;width:58.9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" fillcolor="white [3201]" strokecolor="white [3212]" strokeweight=".5pt">
                <v:textbox>
                  <w:txbxContent>
                    <w:p w14:paraId="677259BD" w14:textId="77777777" w:rsidR="007D77F5" w:rsidRPr="0098058C" w:rsidRDefault="007D77F5" w:rsidP="007D77F5">
                      <w:pPr>
                        <w:jc w:val="center"/>
                        <w:rPr>
                          <w:sz w:val="20"/>
                          <w:szCs w:val="20"/>
                        </w:rPr>
                      </w:pPr>
                      <w:r>
                        <w:rPr>
                          <w:sz w:val="20"/>
                          <w:szCs w:val="20"/>
                        </w:rPr>
                        <w:t>Sel darah merah</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82A4CD1" wp14:editId="201688C9">
                <wp:simplePos x="0" y="0"/>
                <wp:positionH relativeFrom="column">
                  <wp:posOffset>1798983</wp:posOffset>
                </wp:positionH>
                <wp:positionV relativeFrom="paragraph">
                  <wp:posOffset>1466629</wp:posOffset>
                </wp:positionV>
                <wp:extent cx="513383" cy="0"/>
                <wp:effectExtent l="0" t="76200" r="20320" b="95250"/>
                <wp:wrapNone/>
                <wp:docPr id="6" name="Straight Arrow Connector 6"/>
                <wp:cNvGraphicFramePr/>
                <a:graphic xmlns:a="http://schemas.openxmlformats.org/drawingml/2006/main">
                  <a:graphicData uri="http://schemas.microsoft.com/office/word/2010/wordprocessingShape">
                    <wps:wsp>
                      <wps:cNvCnPr/>
                      <wps:spPr>
                        <a:xfrm>
                          <a:off x="0" y="0"/>
                          <a:ext cx="5133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24E64518" id="_x0000_t32" coordsize="21600,21600" o:spt="32" o:oned="t" path="m,l21600,21600e" filled="f">
                <v:path arrowok="t" fillok="f" o:connecttype="none"/>
                <o:lock v:ext="edit" shapetype="t"/>
              </v:shapetype>
              <v:shape id="Straight Arrow Connector 6" o:spid="_x0000_s1026" type="#_x0000_t32" style="position:absolute;margin-left:141.65pt;margin-top:115.5pt;width:40.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4E5E01D" wp14:editId="54B7C499">
                <wp:simplePos x="0" y="0"/>
                <wp:positionH relativeFrom="column">
                  <wp:posOffset>2343150</wp:posOffset>
                </wp:positionH>
                <wp:positionV relativeFrom="paragraph">
                  <wp:posOffset>1012479</wp:posOffset>
                </wp:positionV>
                <wp:extent cx="628650" cy="425450"/>
                <wp:effectExtent l="0" t="0" r="19050" b="12700"/>
                <wp:wrapNone/>
                <wp:docPr id="61" name="Text Box 61"/>
                <wp:cNvGraphicFramePr/>
                <a:graphic xmlns:a="http://schemas.openxmlformats.org/drawingml/2006/main">
                  <a:graphicData uri="http://schemas.microsoft.com/office/word/2010/wordprocessingShape">
                    <wps:wsp>
                      <wps:cNvSpPr txBox="1"/>
                      <wps:spPr>
                        <a:xfrm>
                          <a:off x="0" y="0"/>
                          <a:ext cx="628650" cy="425450"/>
                        </a:xfrm>
                        <a:prstGeom prst="rect">
                          <a:avLst/>
                        </a:prstGeom>
                        <a:solidFill>
                          <a:schemeClr val="lt1"/>
                        </a:solidFill>
                        <a:ln w="6350">
                          <a:solidFill>
                            <a:schemeClr val="bg1"/>
                          </a:solidFill>
                        </a:ln>
                      </wps:spPr>
                      <wps:txbx>
                        <w:txbxContent>
                          <w:p w14:paraId="63894DAA" w14:textId="77777777" w:rsidR="007D77F5" w:rsidRPr="00182BDD" w:rsidRDefault="007D77F5" w:rsidP="007D77F5">
                            <w:pPr>
                              <w:jc w:val="center"/>
                              <w:rPr>
                                <w:i/>
                                <w:iCs/>
                                <w:sz w:val="20"/>
                                <w:szCs w:val="20"/>
                              </w:rPr>
                            </w:pPr>
                            <w:r>
                              <w:rPr>
                                <w:i/>
                                <w:iCs/>
                                <w:sz w:val="20"/>
                                <w:szCs w:val="20"/>
                              </w:rPr>
                              <w:t>Ficoll hypaque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E01D" id="Text Box 61" o:spid="_x0000_s1027" type="#_x0000_t202" style="position:absolute;left:0;text-align:left;margin-left:184.5pt;margin-top:79.7pt;width:49.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" fillcolor="white [3201]" strokecolor="white [3212]" strokeweight=".5pt">
                <v:textbox>
                  <w:txbxContent>
                    <w:p w14:paraId="63894DAA" w14:textId="77777777" w:rsidR="007D77F5" w:rsidRPr="00182BDD" w:rsidRDefault="007D77F5" w:rsidP="007D77F5">
                      <w:pPr>
                        <w:jc w:val="center"/>
                        <w:rPr>
                          <w:i/>
                          <w:iCs/>
                          <w:sz w:val="20"/>
                          <w:szCs w:val="20"/>
                        </w:rPr>
                      </w:pPr>
                      <w:r>
                        <w:rPr>
                          <w:i/>
                          <w:iCs/>
                          <w:sz w:val="20"/>
                          <w:szCs w:val="20"/>
                        </w:rPr>
                        <w:t>Ficoll hypaque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1C41350" wp14:editId="20146B62">
                <wp:simplePos x="0" y="0"/>
                <wp:positionH relativeFrom="column">
                  <wp:posOffset>1928957</wp:posOffset>
                </wp:positionH>
                <wp:positionV relativeFrom="paragraph">
                  <wp:posOffset>1222895</wp:posOffset>
                </wp:positionV>
                <wp:extent cx="384463" cy="0"/>
                <wp:effectExtent l="0" t="76200" r="15875" b="95250"/>
                <wp:wrapNone/>
                <wp:docPr id="5" name="Straight Arrow Connector 5"/>
                <wp:cNvGraphicFramePr/>
                <a:graphic xmlns:a="http://schemas.openxmlformats.org/drawingml/2006/main">
                  <a:graphicData uri="http://schemas.microsoft.com/office/word/2010/wordprocessingShape">
                    <wps:wsp>
                      <wps:cNvCnPr/>
                      <wps:spPr>
                        <a:xfrm>
                          <a:off x="0" y="0"/>
                          <a:ext cx="3844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81F9382" id="Straight Arrow Connector 5" o:spid="_x0000_s1026" type="#_x0000_t32" style="position:absolute;margin-left:151.9pt;margin-top:96.3pt;width:30.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E97CD62" wp14:editId="5278468D">
                <wp:simplePos x="0" y="0"/>
                <wp:positionH relativeFrom="column">
                  <wp:posOffset>2311977</wp:posOffset>
                </wp:positionH>
                <wp:positionV relativeFrom="paragraph">
                  <wp:posOffset>809856</wp:posOffset>
                </wp:positionV>
                <wp:extent cx="628650" cy="279400"/>
                <wp:effectExtent l="0" t="0" r="19050" b="25400"/>
                <wp:wrapNone/>
                <wp:docPr id="60" name="Text Box 60"/>
                <wp:cNvGraphicFramePr/>
                <a:graphic xmlns:a="http://schemas.openxmlformats.org/drawingml/2006/main">
                  <a:graphicData uri="http://schemas.microsoft.com/office/word/2010/wordprocessingShape">
                    <wps:wsp>
                      <wps:cNvSpPr txBox="1"/>
                      <wps:spPr>
                        <a:xfrm>
                          <a:off x="0" y="0"/>
                          <a:ext cx="628650" cy="279400"/>
                        </a:xfrm>
                        <a:prstGeom prst="rect">
                          <a:avLst/>
                        </a:prstGeom>
                        <a:solidFill>
                          <a:schemeClr val="lt1"/>
                        </a:solidFill>
                        <a:ln w="6350">
                          <a:solidFill>
                            <a:schemeClr val="bg1"/>
                          </a:solidFill>
                        </a:ln>
                      </wps:spPr>
                      <wps:txbx>
                        <w:txbxContent>
                          <w:p w14:paraId="0C4045FC" w14:textId="77777777" w:rsidR="007D77F5" w:rsidRPr="00182BDD" w:rsidRDefault="007D77F5" w:rsidP="007D77F5">
                            <w:pPr>
                              <w:rPr>
                                <w:sz w:val="20"/>
                                <w:szCs w:val="20"/>
                              </w:rPr>
                            </w:pPr>
                            <w:r>
                              <w:rPr>
                                <w:sz w:val="20"/>
                                <w:szCs w:val="20"/>
                              </w:rPr>
                              <w:t>Monosit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CD62" id="Text Box 60" o:spid="_x0000_s1028" type="#_x0000_t202" style="position:absolute;left:0;text-align:left;margin-left:182.05pt;margin-top:63.75pt;width:49.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" fillcolor="white [3201]" strokecolor="white [3212]" strokeweight=".5pt">
                <v:textbox>
                  <w:txbxContent>
                    <w:p w14:paraId="0C4045FC" w14:textId="77777777" w:rsidR="007D77F5" w:rsidRPr="00182BDD" w:rsidRDefault="007D77F5" w:rsidP="007D77F5">
                      <w:pPr>
                        <w:rPr>
                          <w:sz w:val="20"/>
                          <w:szCs w:val="20"/>
                        </w:rPr>
                      </w:pPr>
                      <w:r>
                        <w:rPr>
                          <w:sz w:val="20"/>
                          <w:szCs w:val="20"/>
                        </w:rPr>
                        <w:t>Monosit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48367E" wp14:editId="619075F8">
                <wp:simplePos x="0" y="0"/>
                <wp:positionH relativeFrom="column">
                  <wp:posOffset>1928957</wp:posOffset>
                </wp:positionH>
                <wp:positionV relativeFrom="paragraph">
                  <wp:posOffset>962718</wp:posOffset>
                </wp:positionV>
                <wp:extent cx="384463" cy="0"/>
                <wp:effectExtent l="0" t="76200" r="15875" b="95250"/>
                <wp:wrapNone/>
                <wp:docPr id="3" name="Straight Arrow Connector 3"/>
                <wp:cNvGraphicFramePr/>
                <a:graphic xmlns:a="http://schemas.openxmlformats.org/drawingml/2006/main">
                  <a:graphicData uri="http://schemas.microsoft.com/office/word/2010/wordprocessingShape">
                    <wps:wsp>
                      <wps:cNvCnPr/>
                      <wps:spPr>
                        <a:xfrm>
                          <a:off x="0" y="0"/>
                          <a:ext cx="3844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535CF75" id="Straight Arrow Connector 3" o:spid="_x0000_s1026" type="#_x0000_t32" style="position:absolute;margin-left:151.9pt;margin-top:75.8pt;width:30.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255C8A0" wp14:editId="081C1CDC">
                <wp:simplePos x="0" y="0"/>
                <wp:positionH relativeFrom="column">
                  <wp:posOffset>2311516</wp:posOffset>
                </wp:positionH>
                <wp:positionV relativeFrom="paragraph">
                  <wp:posOffset>235585</wp:posOffset>
                </wp:positionV>
                <wp:extent cx="628650" cy="2286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628650" cy="228600"/>
                        </a:xfrm>
                        <a:prstGeom prst="rect">
                          <a:avLst/>
                        </a:prstGeom>
                        <a:solidFill>
                          <a:schemeClr val="lt1"/>
                        </a:solidFill>
                        <a:ln w="6350">
                          <a:solidFill>
                            <a:schemeClr val="bg1"/>
                          </a:solidFill>
                        </a:ln>
                      </wps:spPr>
                      <wps:txbx>
                        <w:txbxContent>
                          <w:p w14:paraId="53237246" w14:textId="77777777" w:rsidR="001339D0" w:rsidRPr="00182BDD" w:rsidRDefault="001339D0" w:rsidP="001339D0">
                            <w:pPr>
                              <w:rPr>
                                <w:sz w:val="20"/>
                                <w:szCs w:val="20"/>
                              </w:rPr>
                            </w:pPr>
                            <w:r>
                              <w:rPr>
                                <w:sz w:val="20"/>
                                <w:szCs w:val="20"/>
                              </w:rPr>
                              <w:t>Plasma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55C8A0" id="Text Box 59" o:spid="_x0000_s1029" type="#_x0000_t202" style="position:absolute;left:0;text-align:left;margin-left:182pt;margin-top:18.55pt;width:49.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" fillcolor="white [3201]" strokecolor="white [3212]" strokeweight=".5pt">
                <v:textbox>
                  <w:txbxContent>
                    <w:p w14:paraId="53237246" w14:textId="77777777" w:rsidR="001339D0" w:rsidRPr="00182BDD" w:rsidRDefault="001339D0" w:rsidP="001339D0">
                      <w:pPr>
                        <w:rPr>
                          <w:sz w:val="20"/>
                          <w:szCs w:val="20"/>
                        </w:rPr>
                      </w:pPr>
                      <w:r>
                        <w:rPr>
                          <w:sz w:val="20"/>
                          <w:szCs w:val="20"/>
                        </w:rPr>
                        <w:t>Plasma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C2D5E0" wp14:editId="59833DD0">
                <wp:simplePos x="0" y="0"/>
                <wp:positionH relativeFrom="column">
                  <wp:posOffset>1927225</wp:posOffset>
                </wp:positionH>
                <wp:positionV relativeFrom="paragraph">
                  <wp:posOffset>379268</wp:posOffset>
                </wp:positionV>
                <wp:extent cx="384463" cy="0"/>
                <wp:effectExtent l="0" t="76200" r="15875" b="95250"/>
                <wp:wrapNone/>
                <wp:docPr id="2" name="Straight Arrow Connector 2"/>
                <wp:cNvGraphicFramePr/>
                <a:graphic xmlns:a="http://schemas.openxmlformats.org/drawingml/2006/main">
                  <a:graphicData uri="http://schemas.microsoft.com/office/word/2010/wordprocessingShape">
                    <wps:wsp>
                      <wps:cNvCnPr/>
                      <wps:spPr>
                        <a:xfrm>
                          <a:off x="0" y="0"/>
                          <a:ext cx="3844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B24E0B8" id="Straight Arrow Connector 2" o:spid="_x0000_s1026" type="#_x0000_t32" style="position:absolute;margin-left:151.75pt;margin-top:29.85pt;width:3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" strokecolor="black [3200]" strokeweight=".5pt">
                <v:stroke endarrow="block" joinstyle="miter"/>
              </v:shape>
            </w:pict>
          </mc:Fallback>
        </mc:AlternateContent>
      </w:r>
      <w:r w:rsidR="001339D0">
        <w:rPr>
          <w:noProof/>
        </w:rPr>
        <w:drawing>
          <wp:inline distT="0" distB="0" distL="0" distR="0" wp14:anchorId="664F5D4E" wp14:editId="50003312">
            <wp:extent cx="1594163" cy="714202"/>
            <wp:effectExtent l="1905"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228" t="32756" b="20014"/>
                    <a:stretch/>
                  </pic:blipFill>
                  <pic:spPr bwMode="auto">
                    <a:xfrm rot="5400000">
                      <a:off x="0" y="0"/>
                      <a:ext cx="1626228" cy="728567"/>
                    </a:xfrm>
                    <a:prstGeom prst="rect">
                      <a:avLst/>
                    </a:prstGeom>
                    <a:noFill/>
                    <a:ln>
                      <a:noFill/>
                    </a:ln>
                    <a:extLst>
                      <a:ext uri="{53640926-AAD7-44D8-BBD7-CCE9431645EC}">
                        <a14:shadowObscured xmlns:a14="http://schemas.microsoft.com/office/drawing/2010/main"/>
                      </a:ext>
                    </a:extLst>
                  </pic:spPr>
                </pic:pic>
              </a:graphicData>
            </a:graphic>
          </wp:inline>
        </w:drawing>
      </w:r>
      <w:r w:rsidR="001339D0">
        <w:rPr>
          <w:sz w:val="20"/>
          <w:szCs w:val="20"/>
        </w:rPr>
        <w:t xml:space="preserve">                             </w:t>
      </w:r>
      <w:r w:rsidR="001339D0">
        <w:rPr>
          <w:noProof/>
        </w:rPr>
        <w:drawing>
          <wp:inline distT="0" distB="0" distL="0" distR="0" wp14:anchorId="06C4B6D8" wp14:editId="3D18137E">
            <wp:extent cx="1618740" cy="1448426"/>
            <wp:effectExtent l="9208"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77" r="19997" b="11717"/>
                    <a:stretch/>
                  </pic:blipFill>
                  <pic:spPr bwMode="auto">
                    <a:xfrm rot="5400000">
                      <a:off x="0" y="0"/>
                      <a:ext cx="1635687" cy="1463590"/>
                    </a:xfrm>
                    <a:prstGeom prst="rect">
                      <a:avLst/>
                    </a:prstGeom>
                    <a:noFill/>
                    <a:ln>
                      <a:noFill/>
                    </a:ln>
                    <a:extLst>
                      <a:ext uri="{53640926-AAD7-44D8-BBD7-CCE9431645EC}">
                        <a14:shadowObscured xmlns:a14="http://schemas.microsoft.com/office/drawing/2010/main"/>
                      </a:ext>
                    </a:extLst>
                  </pic:spPr>
                </pic:pic>
              </a:graphicData>
            </a:graphic>
          </wp:inline>
        </w:drawing>
      </w:r>
    </w:p>
    <w:p w14:paraId="7CD49DA9" w14:textId="7DA114E2" w:rsidR="007D77F5" w:rsidRPr="007D77F5" w:rsidRDefault="007D77F5" w:rsidP="007D77F5">
      <w:pPr>
        <w:tabs>
          <w:tab w:val="left" w:pos="2694"/>
          <w:tab w:val="left" w:pos="5812"/>
        </w:tabs>
        <w:rPr>
          <w:sz w:val="20"/>
          <w:szCs w:val="20"/>
        </w:rPr>
      </w:pPr>
      <w:r>
        <w:rPr>
          <w:sz w:val="20"/>
          <w:szCs w:val="20"/>
        </w:rPr>
        <w:tab/>
      </w:r>
      <w:r w:rsidRPr="007D77F5">
        <w:rPr>
          <w:sz w:val="20"/>
          <w:szCs w:val="20"/>
        </w:rPr>
        <w:t>(</w:t>
      </w:r>
      <w:r>
        <w:rPr>
          <w:sz w:val="20"/>
          <w:szCs w:val="20"/>
        </w:rPr>
        <w:t>a</w:t>
      </w:r>
      <w:r w:rsidRPr="007D77F5">
        <w:rPr>
          <w:sz w:val="20"/>
          <w:szCs w:val="20"/>
        </w:rPr>
        <w:t>)</w:t>
      </w:r>
      <w:r>
        <w:rPr>
          <w:sz w:val="20"/>
          <w:szCs w:val="20"/>
        </w:rPr>
        <w:tab/>
        <w:t>(b)</w:t>
      </w:r>
    </w:p>
    <w:p w14:paraId="042FA841" w14:textId="77777777" w:rsidR="00545C95" w:rsidRDefault="007D77F5" w:rsidP="00545C95">
      <w:pPr>
        <w:tabs>
          <w:tab w:val="left" w:pos="3261"/>
        </w:tabs>
        <w:ind w:left="1418" w:hanging="1134"/>
        <w:rPr>
          <w:sz w:val="20"/>
          <w:szCs w:val="20"/>
        </w:rPr>
      </w:pPr>
      <w:r w:rsidRPr="00A860A7">
        <w:rPr>
          <w:rStyle w:val="Emphasis"/>
          <w:i w:val="0"/>
          <w:iCs w:val="0"/>
          <w:sz w:val="20"/>
          <w:szCs w:val="20"/>
        </w:rPr>
        <w:t>Gambar 1.</w:t>
      </w:r>
      <w:r w:rsidRPr="007D77F5">
        <w:rPr>
          <w:rStyle w:val="Emphasis"/>
          <w:sz w:val="20"/>
          <w:szCs w:val="20"/>
        </w:rPr>
        <w:t xml:space="preserve"> </w:t>
      </w:r>
      <w:r>
        <w:rPr>
          <w:sz w:val="20"/>
          <w:szCs w:val="20"/>
        </w:rPr>
        <w:t xml:space="preserve">(a) Isolasi sel monosit (b) Pengamatan isolat sel monosit dengan perbesaran 100x dibawah mikroskop inverted. Hasil isolasi sel monosit terbentuk </w:t>
      </w:r>
      <w:r w:rsidRPr="006C2AC9">
        <w:rPr>
          <w:sz w:val="20"/>
          <w:szCs w:val="20"/>
        </w:rPr>
        <w:t xml:space="preserve">terbentuk empat lapisan yaitu </w:t>
      </w:r>
    </w:p>
    <w:p w14:paraId="536573CA" w14:textId="091C6A93" w:rsidR="007D77F5" w:rsidRDefault="00545C95" w:rsidP="00545C95">
      <w:pPr>
        <w:tabs>
          <w:tab w:val="left" w:pos="3261"/>
        </w:tabs>
        <w:ind w:left="1418" w:hanging="1134"/>
        <w:rPr>
          <w:sz w:val="20"/>
          <w:szCs w:val="20"/>
        </w:rPr>
      </w:pPr>
      <w:r>
        <w:rPr>
          <w:sz w:val="20"/>
          <w:szCs w:val="20"/>
        </w:rPr>
        <w:t xml:space="preserve">                       </w:t>
      </w:r>
      <w:r w:rsidR="007D77F5" w:rsidRPr="006C2AC9">
        <w:rPr>
          <w:sz w:val="20"/>
          <w:szCs w:val="20"/>
        </w:rPr>
        <w:t xml:space="preserve">plasma, sel monosit, </w:t>
      </w:r>
      <w:r w:rsidR="007D77F5" w:rsidRPr="006C2AC9">
        <w:rPr>
          <w:i/>
          <w:iCs/>
          <w:sz w:val="20"/>
          <w:szCs w:val="20"/>
        </w:rPr>
        <w:t>ficoll hypaque</w:t>
      </w:r>
      <w:r w:rsidR="007D77F5" w:rsidRPr="006C2AC9">
        <w:rPr>
          <w:sz w:val="20"/>
          <w:szCs w:val="20"/>
        </w:rPr>
        <w:t>, dan sel darah merah</w:t>
      </w:r>
      <w:r w:rsidR="007D77F5">
        <w:rPr>
          <w:sz w:val="20"/>
          <w:szCs w:val="20"/>
        </w:rPr>
        <w:t>.</w:t>
      </w:r>
    </w:p>
    <w:p w14:paraId="6BF47CC4" w14:textId="77777777" w:rsidR="00B171DE" w:rsidRDefault="00B171DE" w:rsidP="00545C95">
      <w:pPr>
        <w:tabs>
          <w:tab w:val="left" w:pos="3261"/>
        </w:tabs>
        <w:ind w:left="1418" w:hanging="1134"/>
        <w:rPr>
          <w:sz w:val="20"/>
          <w:szCs w:val="20"/>
        </w:rPr>
      </w:pPr>
    </w:p>
    <w:p w14:paraId="22314353" w14:textId="77777777" w:rsidR="00545C95" w:rsidRDefault="00545C95" w:rsidP="00545C95">
      <w:pPr>
        <w:tabs>
          <w:tab w:val="left" w:pos="3261"/>
        </w:tabs>
        <w:ind w:left="1418" w:hanging="1134"/>
        <w:rPr>
          <w:sz w:val="20"/>
          <w:szCs w:val="20"/>
        </w:rPr>
      </w:pPr>
    </w:p>
    <w:p w14:paraId="0E0AA843" w14:textId="34EAB82D" w:rsidR="007D77F5" w:rsidRPr="007D77F5" w:rsidRDefault="007D77F5" w:rsidP="007D77F5">
      <w:pPr>
        <w:jc w:val="center"/>
        <w:rPr>
          <w:sz w:val="20"/>
          <w:szCs w:val="20"/>
        </w:rPr>
      </w:pPr>
      <w:r w:rsidRPr="007D77F5">
        <w:rPr>
          <w:sz w:val="20"/>
          <w:szCs w:val="20"/>
        </w:rPr>
        <w:t>Tabel 1</w:t>
      </w:r>
      <w:r w:rsidR="000F2234">
        <w:rPr>
          <w:sz w:val="20"/>
          <w:szCs w:val="20"/>
        </w:rPr>
        <w:t>.</w:t>
      </w:r>
      <w:r w:rsidRPr="007D77F5">
        <w:rPr>
          <w:b/>
          <w:bCs/>
          <w:sz w:val="20"/>
          <w:szCs w:val="20"/>
        </w:rPr>
        <w:t xml:space="preserve"> </w:t>
      </w:r>
      <w:r w:rsidRPr="007D77F5">
        <w:rPr>
          <w:sz w:val="20"/>
          <w:szCs w:val="20"/>
        </w:rPr>
        <w:t xml:space="preserve">Hasil Perhitungan Viabilitas Sel Monosit yang dipapar </w:t>
      </w:r>
      <w:r w:rsidRPr="007D77F5">
        <w:rPr>
          <w:i/>
          <w:iCs/>
          <w:sz w:val="20"/>
          <w:szCs w:val="20"/>
        </w:rPr>
        <w:t>Monosodium Glutamat</w:t>
      </w:r>
      <w:r w:rsidRPr="007D77F5">
        <w:rPr>
          <w:sz w:val="20"/>
          <w:szCs w:val="20"/>
        </w:rPr>
        <w:t xml:space="preserve"> (MSG)</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701"/>
        <w:gridCol w:w="1706"/>
        <w:gridCol w:w="1696"/>
      </w:tblGrid>
      <w:tr w:rsidR="007D77F5" w:rsidRPr="007D77F5" w14:paraId="295C7C03" w14:textId="77777777" w:rsidTr="00230D2E">
        <w:trPr>
          <w:trHeight w:val="249"/>
          <w:jc w:val="center"/>
        </w:trPr>
        <w:tc>
          <w:tcPr>
            <w:tcW w:w="1129" w:type="dxa"/>
            <w:shd w:val="clear" w:color="auto" w:fill="auto"/>
            <w:noWrap/>
            <w:vAlign w:val="center"/>
            <w:hideMark/>
          </w:tcPr>
          <w:p w14:paraId="49E5CBCF" w14:textId="77777777" w:rsidR="007D77F5" w:rsidRPr="007D77F5" w:rsidRDefault="007D77F5" w:rsidP="007D77F5">
            <w:pPr>
              <w:contextualSpacing/>
              <w:jc w:val="center"/>
              <w:rPr>
                <w:b/>
                <w:bCs/>
                <w:color w:val="000000"/>
                <w:sz w:val="20"/>
                <w:szCs w:val="20"/>
                <w:lang w:eastAsia="id-ID"/>
              </w:rPr>
            </w:pPr>
            <w:r w:rsidRPr="007D77F5">
              <w:rPr>
                <w:b/>
                <w:bCs/>
                <w:color w:val="000000"/>
                <w:sz w:val="20"/>
                <w:szCs w:val="20"/>
                <w:lang w:eastAsia="id-ID"/>
              </w:rPr>
              <w:t>Replikasi</w:t>
            </w:r>
          </w:p>
        </w:tc>
        <w:tc>
          <w:tcPr>
            <w:tcW w:w="1560" w:type="dxa"/>
            <w:shd w:val="clear" w:color="auto" w:fill="auto"/>
            <w:noWrap/>
            <w:vAlign w:val="center"/>
            <w:hideMark/>
          </w:tcPr>
          <w:p w14:paraId="0FC8AA41" w14:textId="77777777" w:rsidR="007D77F5" w:rsidRPr="007D77F5" w:rsidRDefault="007D77F5" w:rsidP="007D77F5">
            <w:pPr>
              <w:contextualSpacing/>
              <w:jc w:val="center"/>
              <w:rPr>
                <w:b/>
                <w:bCs/>
                <w:color w:val="000000"/>
                <w:sz w:val="20"/>
                <w:szCs w:val="20"/>
                <w:lang w:eastAsia="id-ID"/>
              </w:rPr>
            </w:pPr>
            <w:r w:rsidRPr="007D77F5">
              <w:rPr>
                <w:b/>
                <w:bCs/>
                <w:color w:val="000000"/>
                <w:sz w:val="20"/>
                <w:szCs w:val="20"/>
                <w:lang w:eastAsia="id-ID"/>
              </w:rPr>
              <w:t>Kontrol Sel</w:t>
            </w:r>
          </w:p>
        </w:tc>
        <w:tc>
          <w:tcPr>
            <w:tcW w:w="1701" w:type="dxa"/>
            <w:shd w:val="clear" w:color="auto" w:fill="auto"/>
            <w:noWrap/>
            <w:vAlign w:val="center"/>
            <w:hideMark/>
          </w:tcPr>
          <w:p w14:paraId="2038423A" w14:textId="77777777" w:rsidR="007D77F5" w:rsidRPr="007D77F5" w:rsidRDefault="007D77F5" w:rsidP="007D77F5">
            <w:pPr>
              <w:contextualSpacing/>
              <w:jc w:val="center"/>
              <w:rPr>
                <w:b/>
                <w:bCs/>
                <w:color w:val="000000"/>
                <w:sz w:val="20"/>
                <w:szCs w:val="20"/>
                <w:lang w:eastAsia="id-ID"/>
              </w:rPr>
            </w:pPr>
            <w:r w:rsidRPr="007D77F5">
              <w:rPr>
                <w:b/>
                <w:bCs/>
                <w:color w:val="000000"/>
                <w:sz w:val="20"/>
                <w:szCs w:val="20"/>
                <w:lang w:eastAsia="id-ID"/>
              </w:rPr>
              <w:t>Konsentrasi 3%</w:t>
            </w:r>
          </w:p>
        </w:tc>
        <w:tc>
          <w:tcPr>
            <w:tcW w:w="1706" w:type="dxa"/>
            <w:shd w:val="clear" w:color="auto" w:fill="auto"/>
            <w:noWrap/>
            <w:vAlign w:val="center"/>
            <w:hideMark/>
          </w:tcPr>
          <w:p w14:paraId="295170E8" w14:textId="77777777" w:rsidR="007D77F5" w:rsidRPr="007D77F5" w:rsidRDefault="007D77F5" w:rsidP="007D77F5">
            <w:pPr>
              <w:contextualSpacing/>
              <w:jc w:val="center"/>
              <w:rPr>
                <w:b/>
                <w:bCs/>
                <w:color w:val="000000"/>
                <w:sz w:val="20"/>
                <w:szCs w:val="20"/>
                <w:lang w:eastAsia="id-ID"/>
              </w:rPr>
            </w:pPr>
            <w:r w:rsidRPr="007D77F5">
              <w:rPr>
                <w:b/>
                <w:bCs/>
                <w:color w:val="000000"/>
                <w:sz w:val="20"/>
                <w:szCs w:val="20"/>
                <w:lang w:eastAsia="id-ID"/>
              </w:rPr>
              <w:t>Konsentrasi 6%</w:t>
            </w:r>
          </w:p>
        </w:tc>
        <w:tc>
          <w:tcPr>
            <w:tcW w:w="1696" w:type="dxa"/>
            <w:shd w:val="clear" w:color="auto" w:fill="auto"/>
            <w:noWrap/>
            <w:vAlign w:val="center"/>
            <w:hideMark/>
          </w:tcPr>
          <w:p w14:paraId="346532D9" w14:textId="77777777" w:rsidR="007D77F5" w:rsidRPr="007D77F5" w:rsidRDefault="007D77F5" w:rsidP="007D77F5">
            <w:pPr>
              <w:contextualSpacing/>
              <w:jc w:val="center"/>
              <w:rPr>
                <w:b/>
                <w:bCs/>
                <w:color w:val="000000"/>
                <w:sz w:val="20"/>
                <w:szCs w:val="20"/>
                <w:lang w:eastAsia="id-ID"/>
              </w:rPr>
            </w:pPr>
            <w:r w:rsidRPr="007D77F5">
              <w:rPr>
                <w:b/>
                <w:bCs/>
                <w:color w:val="000000"/>
                <w:sz w:val="20"/>
                <w:szCs w:val="20"/>
                <w:lang w:eastAsia="id-ID"/>
              </w:rPr>
              <w:t>Konsentrasi 9%</w:t>
            </w:r>
          </w:p>
        </w:tc>
      </w:tr>
      <w:tr w:rsidR="007D77F5" w:rsidRPr="007D77F5" w14:paraId="359706AE" w14:textId="77777777" w:rsidTr="00230D2E">
        <w:trPr>
          <w:trHeight w:val="249"/>
          <w:jc w:val="center"/>
        </w:trPr>
        <w:tc>
          <w:tcPr>
            <w:tcW w:w="1129" w:type="dxa"/>
            <w:shd w:val="clear" w:color="auto" w:fill="auto"/>
            <w:noWrap/>
            <w:vAlign w:val="center"/>
            <w:hideMark/>
          </w:tcPr>
          <w:p w14:paraId="5C0E3603"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1</w:t>
            </w:r>
          </w:p>
        </w:tc>
        <w:tc>
          <w:tcPr>
            <w:tcW w:w="1560" w:type="dxa"/>
            <w:shd w:val="clear" w:color="auto" w:fill="auto"/>
            <w:noWrap/>
            <w:vAlign w:val="center"/>
            <w:hideMark/>
          </w:tcPr>
          <w:p w14:paraId="283AF067"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70%</w:t>
            </w:r>
          </w:p>
        </w:tc>
        <w:tc>
          <w:tcPr>
            <w:tcW w:w="1701" w:type="dxa"/>
            <w:shd w:val="clear" w:color="auto" w:fill="auto"/>
            <w:noWrap/>
            <w:vAlign w:val="center"/>
            <w:hideMark/>
          </w:tcPr>
          <w:p w14:paraId="782554B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12%</w:t>
            </w:r>
          </w:p>
        </w:tc>
        <w:tc>
          <w:tcPr>
            <w:tcW w:w="1706" w:type="dxa"/>
            <w:shd w:val="clear" w:color="auto" w:fill="auto"/>
            <w:noWrap/>
            <w:vAlign w:val="center"/>
            <w:hideMark/>
          </w:tcPr>
          <w:p w14:paraId="4B2EE9C2"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29%</w:t>
            </w:r>
          </w:p>
        </w:tc>
        <w:tc>
          <w:tcPr>
            <w:tcW w:w="1696" w:type="dxa"/>
            <w:shd w:val="clear" w:color="auto" w:fill="auto"/>
            <w:noWrap/>
            <w:vAlign w:val="center"/>
            <w:hideMark/>
          </w:tcPr>
          <w:p w14:paraId="61CAA133"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30%</w:t>
            </w:r>
          </w:p>
        </w:tc>
      </w:tr>
      <w:tr w:rsidR="007D77F5" w:rsidRPr="007D77F5" w14:paraId="2CE14BD3" w14:textId="77777777" w:rsidTr="00230D2E">
        <w:trPr>
          <w:trHeight w:val="249"/>
          <w:jc w:val="center"/>
        </w:trPr>
        <w:tc>
          <w:tcPr>
            <w:tcW w:w="1129" w:type="dxa"/>
            <w:shd w:val="clear" w:color="auto" w:fill="auto"/>
            <w:noWrap/>
            <w:vAlign w:val="center"/>
            <w:hideMark/>
          </w:tcPr>
          <w:p w14:paraId="7DE8234A"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2</w:t>
            </w:r>
          </w:p>
        </w:tc>
        <w:tc>
          <w:tcPr>
            <w:tcW w:w="1560" w:type="dxa"/>
            <w:shd w:val="clear" w:color="auto" w:fill="auto"/>
            <w:noWrap/>
            <w:vAlign w:val="center"/>
            <w:hideMark/>
          </w:tcPr>
          <w:p w14:paraId="4D9EC52B"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50%</w:t>
            </w:r>
          </w:p>
        </w:tc>
        <w:tc>
          <w:tcPr>
            <w:tcW w:w="1701" w:type="dxa"/>
            <w:shd w:val="clear" w:color="auto" w:fill="auto"/>
            <w:noWrap/>
            <w:vAlign w:val="center"/>
            <w:hideMark/>
          </w:tcPr>
          <w:p w14:paraId="5EFEE30D"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50%</w:t>
            </w:r>
          </w:p>
        </w:tc>
        <w:tc>
          <w:tcPr>
            <w:tcW w:w="1706" w:type="dxa"/>
            <w:shd w:val="clear" w:color="auto" w:fill="auto"/>
            <w:noWrap/>
            <w:vAlign w:val="center"/>
            <w:hideMark/>
          </w:tcPr>
          <w:p w14:paraId="73596128"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63%</w:t>
            </w:r>
          </w:p>
        </w:tc>
        <w:tc>
          <w:tcPr>
            <w:tcW w:w="1696" w:type="dxa"/>
            <w:shd w:val="clear" w:color="auto" w:fill="auto"/>
            <w:noWrap/>
            <w:vAlign w:val="center"/>
            <w:hideMark/>
          </w:tcPr>
          <w:p w14:paraId="46F129E7"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35%</w:t>
            </w:r>
          </w:p>
        </w:tc>
      </w:tr>
      <w:tr w:rsidR="007D77F5" w:rsidRPr="007D77F5" w14:paraId="49AB1449" w14:textId="77777777" w:rsidTr="00230D2E">
        <w:trPr>
          <w:trHeight w:val="249"/>
          <w:jc w:val="center"/>
        </w:trPr>
        <w:tc>
          <w:tcPr>
            <w:tcW w:w="1129" w:type="dxa"/>
            <w:shd w:val="clear" w:color="auto" w:fill="auto"/>
            <w:noWrap/>
            <w:vAlign w:val="center"/>
            <w:hideMark/>
          </w:tcPr>
          <w:p w14:paraId="5A26AD6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w:t>
            </w:r>
          </w:p>
        </w:tc>
        <w:tc>
          <w:tcPr>
            <w:tcW w:w="1560" w:type="dxa"/>
            <w:shd w:val="clear" w:color="auto" w:fill="auto"/>
            <w:noWrap/>
            <w:vAlign w:val="center"/>
            <w:hideMark/>
          </w:tcPr>
          <w:p w14:paraId="18D61FE8"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53%</w:t>
            </w:r>
          </w:p>
        </w:tc>
        <w:tc>
          <w:tcPr>
            <w:tcW w:w="1701" w:type="dxa"/>
            <w:shd w:val="clear" w:color="auto" w:fill="auto"/>
            <w:noWrap/>
            <w:vAlign w:val="center"/>
            <w:hideMark/>
          </w:tcPr>
          <w:p w14:paraId="6992CD9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50%</w:t>
            </w:r>
          </w:p>
        </w:tc>
        <w:tc>
          <w:tcPr>
            <w:tcW w:w="1706" w:type="dxa"/>
            <w:shd w:val="clear" w:color="auto" w:fill="auto"/>
            <w:noWrap/>
            <w:vAlign w:val="center"/>
            <w:hideMark/>
          </w:tcPr>
          <w:p w14:paraId="3FE4F5B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39%</w:t>
            </w:r>
          </w:p>
        </w:tc>
        <w:tc>
          <w:tcPr>
            <w:tcW w:w="1696" w:type="dxa"/>
            <w:shd w:val="clear" w:color="auto" w:fill="auto"/>
            <w:noWrap/>
            <w:vAlign w:val="center"/>
            <w:hideMark/>
          </w:tcPr>
          <w:p w14:paraId="4DB23BC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37%</w:t>
            </w:r>
          </w:p>
        </w:tc>
      </w:tr>
      <w:tr w:rsidR="007D77F5" w:rsidRPr="007D77F5" w14:paraId="4C01109A" w14:textId="77777777" w:rsidTr="00230D2E">
        <w:trPr>
          <w:trHeight w:val="249"/>
          <w:jc w:val="center"/>
        </w:trPr>
        <w:tc>
          <w:tcPr>
            <w:tcW w:w="1129" w:type="dxa"/>
            <w:shd w:val="clear" w:color="auto" w:fill="auto"/>
            <w:noWrap/>
            <w:vAlign w:val="center"/>
            <w:hideMark/>
          </w:tcPr>
          <w:p w14:paraId="4335FEB3"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w:t>
            </w:r>
          </w:p>
        </w:tc>
        <w:tc>
          <w:tcPr>
            <w:tcW w:w="1560" w:type="dxa"/>
            <w:shd w:val="clear" w:color="auto" w:fill="auto"/>
            <w:noWrap/>
            <w:vAlign w:val="center"/>
            <w:hideMark/>
          </w:tcPr>
          <w:p w14:paraId="0978EC20"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76%</w:t>
            </w:r>
          </w:p>
        </w:tc>
        <w:tc>
          <w:tcPr>
            <w:tcW w:w="1701" w:type="dxa"/>
            <w:shd w:val="clear" w:color="auto" w:fill="auto"/>
            <w:noWrap/>
            <w:vAlign w:val="center"/>
            <w:hideMark/>
          </w:tcPr>
          <w:p w14:paraId="7F074BF5"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74%</w:t>
            </w:r>
          </w:p>
        </w:tc>
        <w:tc>
          <w:tcPr>
            <w:tcW w:w="1706" w:type="dxa"/>
            <w:shd w:val="clear" w:color="auto" w:fill="auto"/>
            <w:noWrap/>
            <w:vAlign w:val="center"/>
            <w:hideMark/>
          </w:tcPr>
          <w:p w14:paraId="55F9E905"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45%</w:t>
            </w:r>
          </w:p>
        </w:tc>
        <w:tc>
          <w:tcPr>
            <w:tcW w:w="1696" w:type="dxa"/>
            <w:shd w:val="clear" w:color="auto" w:fill="auto"/>
            <w:noWrap/>
            <w:vAlign w:val="center"/>
            <w:hideMark/>
          </w:tcPr>
          <w:p w14:paraId="6F6D37C2"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47%</w:t>
            </w:r>
          </w:p>
        </w:tc>
      </w:tr>
      <w:tr w:rsidR="007D77F5" w:rsidRPr="007D77F5" w14:paraId="07668A27" w14:textId="77777777" w:rsidTr="00230D2E">
        <w:trPr>
          <w:trHeight w:val="249"/>
          <w:jc w:val="center"/>
        </w:trPr>
        <w:tc>
          <w:tcPr>
            <w:tcW w:w="1129" w:type="dxa"/>
            <w:shd w:val="clear" w:color="auto" w:fill="auto"/>
            <w:noWrap/>
            <w:vAlign w:val="center"/>
            <w:hideMark/>
          </w:tcPr>
          <w:p w14:paraId="5FE6B8FD"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w:t>
            </w:r>
          </w:p>
        </w:tc>
        <w:tc>
          <w:tcPr>
            <w:tcW w:w="1560" w:type="dxa"/>
            <w:shd w:val="clear" w:color="auto" w:fill="auto"/>
            <w:noWrap/>
            <w:vAlign w:val="center"/>
            <w:hideMark/>
          </w:tcPr>
          <w:p w14:paraId="3153A1F8"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36%</w:t>
            </w:r>
          </w:p>
        </w:tc>
        <w:tc>
          <w:tcPr>
            <w:tcW w:w="1701" w:type="dxa"/>
            <w:shd w:val="clear" w:color="auto" w:fill="auto"/>
            <w:noWrap/>
            <w:vAlign w:val="center"/>
            <w:hideMark/>
          </w:tcPr>
          <w:p w14:paraId="70797BAF"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44%</w:t>
            </w:r>
          </w:p>
        </w:tc>
        <w:tc>
          <w:tcPr>
            <w:tcW w:w="1706" w:type="dxa"/>
            <w:shd w:val="clear" w:color="auto" w:fill="auto"/>
            <w:noWrap/>
            <w:vAlign w:val="center"/>
            <w:hideMark/>
          </w:tcPr>
          <w:p w14:paraId="7F8AEB8C"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48%</w:t>
            </w:r>
          </w:p>
        </w:tc>
        <w:tc>
          <w:tcPr>
            <w:tcW w:w="1696" w:type="dxa"/>
            <w:shd w:val="clear" w:color="auto" w:fill="auto"/>
            <w:noWrap/>
            <w:vAlign w:val="center"/>
            <w:hideMark/>
          </w:tcPr>
          <w:p w14:paraId="0F7B472F"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23%</w:t>
            </w:r>
          </w:p>
        </w:tc>
      </w:tr>
      <w:tr w:rsidR="007D77F5" w:rsidRPr="007D77F5" w14:paraId="5F800840" w14:textId="77777777" w:rsidTr="00230D2E">
        <w:trPr>
          <w:trHeight w:val="249"/>
          <w:jc w:val="center"/>
        </w:trPr>
        <w:tc>
          <w:tcPr>
            <w:tcW w:w="1129" w:type="dxa"/>
            <w:shd w:val="clear" w:color="auto" w:fill="auto"/>
            <w:noWrap/>
            <w:vAlign w:val="center"/>
            <w:hideMark/>
          </w:tcPr>
          <w:p w14:paraId="03CEB6DD"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6</w:t>
            </w:r>
          </w:p>
        </w:tc>
        <w:tc>
          <w:tcPr>
            <w:tcW w:w="1560" w:type="dxa"/>
            <w:shd w:val="clear" w:color="auto" w:fill="auto"/>
            <w:noWrap/>
            <w:vAlign w:val="center"/>
            <w:hideMark/>
          </w:tcPr>
          <w:p w14:paraId="2C49F4B5"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93%</w:t>
            </w:r>
          </w:p>
        </w:tc>
        <w:tc>
          <w:tcPr>
            <w:tcW w:w="1701" w:type="dxa"/>
            <w:shd w:val="clear" w:color="auto" w:fill="auto"/>
            <w:noWrap/>
            <w:vAlign w:val="center"/>
            <w:hideMark/>
          </w:tcPr>
          <w:p w14:paraId="2C3D94FA"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54%</w:t>
            </w:r>
          </w:p>
        </w:tc>
        <w:tc>
          <w:tcPr>
            <w:tcW w:w="1706" w:type="dxa"/>
            <w:shd w:val="clear" w:color="auto" w:fill="auto"/>
            <w:noWrap/>
            <w:vAlign w:val="center"/>
            <w:hideMark/>
          </w:tcPr>
          <w:p w14:paraId="518910C3"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46%</w:t>
            </w:r>
          </w:p>
        </w:tc>
        <w:tc>
          <w:tcPr>
            <w:tcW w:w="1696" w:type="dxa"/>
            <w:shd w:val="clear" w:color="auto" w:fill="auto"/>
            <w:noWrap/>
            <w:vAlign w:val="center"/>
            <w:hideMark/>
          </w:tcPr>
          <w:p w14:paraId="1254EFCB"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38%</w:t>
            </w:r>
          </w:p>
        </w:tc>
      </w:tr>
      <w:tr w:rsidR="007D77F5" w:rsidRPr="007D77F5" w14:paraId="1191AD3A" w14:textId="77777777" w:rsidTr="00230D2E">
        <w:trPr>
          <w:trHeight w:val="236"/>
          <w:jc w:val="center"/>
        </w:trPr>
        <w:tc>
          <w:tcPr>
            <w:tcW w:w="1129" w:type="dxa"/>
            <w:shd w:val="clear" w:color="auto" w:fill="auto"/>
            <w:noWrap/>
            <w:vAlign w:val="center"/>
            <w:hideMark/>
          </w:tcPr>
          <w:p w14:paraId="4DC9605B" w14:textId="77777777" w:rsidR="007D77F5" w:rsidRPr="007D77F5" w:rsidRDefault="00000000" w:rsidP="007D77F5">
            <w:pPr>
              <w:contextualSpacing/>
              <w:jc w:val="center"/>
              <w:rPr>
                <w:b/>
                <w:color w:val="000000"/>
                <w:sz w:val="20"/>
                <w:szCs w:val="20"/>
                <w:lang w:eastAsia="id-ID"/>
              </w:rPr>
            </w:pPr>
            <m:oMathPara>
              <m:oMath>
                <m:acc>
                  <m:accPr>
                    <m:chr m:val="̅"/>
                    <m:ctrlPr>
                      <w:rPr>
                        <w:rFonts w:ascii="Cambria Math" w:hAnsi="Cambria Math"/>
                        <w:b/>
                        <w:color w:val="000000"/>
                        <w:sz w:val="20"/>
                        <w:szCs w:val="20"/>
                        <w:lang w:eastAsia="id-ID"/>
                      </w:rPr>
                    </m:ctrlPr>
                  </m:accPr>
                  <m:e>
                    <m:r>
                      <m:rPr>
                        <m:sty m:val="b"/>
                      </m:rPr>
                      <w:rPr>
                        <w:rFonts w:ascii="Cambria Math" w:hAnsi="Cambria Math"/>
                        <w:color w:val="000000"/>
                        <w:sz w:val="20"/>
                        <w:szCs w:val="20"/>
                        <w:lang w:eastAsia="id-ID"/>
                      </w:rPr>
                      <m:t>X</m:t>
                    </m:r>
                  </m:e>
                </m:acc>
                <m:r>
                  <m:rPr>
                    <m:sty m:val="b"/>
                  </m:rPr>
                  <w:rPr>
                    <w:rFonts w:ascii="Cambria Math" w:hAnsi="Cambria Math"/>
                    <w:color w:val="000000"/>
                    <w:sz w:val="20"/>
                    <w:szCs w:val="20"/>
                    <w:lang w:eastAsia="id-ID"/>
                  </w:rPr>
                  <m:t xml:space="preserve"> ±SD</m:t>
                </m:r>
              </m:oMath>
            </m:oMathPara>
          </w:p>
        </w:tc>
        <w:tc>
          <w:tcPr>
            <w:tcW w:w="1560" w:type="dxa"/>
            <w:shd w:val="clear" w:color="auto" w:fill="auto"/>
            <w:noWrap/>
            <w:vAlign w:val="center"/>
            <w:hideMark/>
          </w:tcPr>
          <w:p w14:paraId="41826C7C"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 xml:space="preserve">63% </w:t>
            </w:r>
            <w:r w:rsidRPr="007D77F5">
              <w:rPr>
                <w:color w:val="000000"/>
                <w:sz w:val="20"/>
                <w:szCs w:val="20"/>
                <w:lang w:eastAsia="id-ID"/>
              </w:rPr>
              <w:sym w:font="Symbol" w:char="F0B1"/>
            </w:r>
            <w:r w:rsidRPr="007D77F5">
              <w:rPr>
                <w:color w:val="000000"/>
                <w:sz w:val="20"/>
                <w:szCs w:val="20"/>
                <w:lang w:eastAsia="id-ID"/>
              </w:rPr>
              <w:t xml:space="preserve"> 21%</w:t>
            </w:r>
          </w:p>
        </w:tc>
        <w:tc>
          <w:tcPr>
            <w:tcW w:w="1701" w:type="dxa"/>
            <w:shd w:val="clear" w:color="auto" w:fill="auto"/>
            <w:noWrap/>
            <w:vAlign w:val="center"/>
            <w:hideMark/>
          </w:tcPr>
          <w:p w14:paraId="43889A54"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 xml:space="preserve">47% </w:t>
            </w:r>
            <w:r w:rsidRPr="007D77F5">
              <w:rPr>
                <w:color w:val="000000"/>
                <w:sz w:val="20"/>
                <w:szCs w:val="20"/>
                <w:lang w:eastAsia="id-ID"/>
              </w:rPr>
              <w:sym w:font="Symbol" w:char="F0B1"/>
            </w:r>
            <w:r w:rsidRPr="007D77F5">
              <w:rPr>
                <w:color w:val="000000"/>
                <w:sz w:val="20"/>
                <w:szCs w:val="20"/>
                <w:lang w:eastAsia="id-ID"/>
              </w:rPr>
              <w:t xml:space="preserve"> 20%</w:t>
            </w:r>
          </w:p>
        </w:tc>
        <w:tc>
          <w:tcPr>
            <w:tcW w:w="1706" w:type="dxa"/>
            <w:shd w:val="clear" w:color="auto" w:fill="auto"/>
            <w:noWrap/>
            <w:vAlign w:val="center"/>
            <w:hideMark/>
          </w:tcPr>
          <w:p w14:paraId="6A9554B7"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 xml:space="preserve">45% </w:t>
            </w:r>
            <w:r w:rsidRPr="007D77F5">
              <w:rPr>
                <w:color w:val="000000"/>
                <w:sz w:val="20"/>
                <w:szCs w:val="20"/>
                <w:lang w:eastAsia="id-ID"/>
              </w:rPr>
              <w:sym w:font="Symbol" w:char="F0B1"/>
            </w:r>
            <w:r w:rsidRPr="007D77F5">
              <w:rPr>
                <w:color w:val="000000"/>
                <w:sz w:val="20"/>
                <w:szCs w:val="20"/>
                <w:lang w:eastAsia="id-ID"/>
              </w:rPr>
              <w:t xml:space="preserve"> 11%</w:t>
            </w:r>
          </w:p>
        </w:tc>
        <w:tc>
          <w:tcPr>
            <w:tcW w:w="1696" w:type="dxa"/>
            <w:shd w:val="clear" w:color="auto" w:fill="auto"/>
            <w:noWrap/>
            <w:vAlign w:val="center"/>
            <w:hideMark/>
          </w:tcPr>
          <w:p w14:paraId="7DDFE644" w14:textId="77777777" w:rsidR="007D77F5" w:rsidRPr="007D77F5" w:rsidRDefault="007D77F5" w:rsidP="007D77F5">
            <w:pPr>
              <w:contextualSpacing/>
              <w:jc w:val="center"/>
              <w:rPr>
                <w:color w:val="000000"/>
                <w:sz w:val="20"/>
                <w:szCs w:val="20"/>
                <w:lang w:eastAsia="id-ID"/>
              </w:rPr>
            </w:pPr>
            <w:r w:rsidRPr="007D77F5">
              <w:rPr>
                <w:color w:val="000000"/>
                <w:sz w:val="20"/>
                <w:szCs w:val="20"/>
                <w:lang w:eastAsia="id-ID"/>
              </w:rPr>
              <w:t xml:space="preserve">35% </w:t>
            </w:r>
            <w:r w:rsidRPr="007D77F5">
              <w:rPr>
                <w:color w:val="000000"/>
                <w:sz w:val="20"/>
                <w:szCs w:val="20"/>
                <w:lang w:eastAsia="id-ID"/>
              </w:rPr>
              <w:sym w:font="Symbol" w:char="F0B1"/>
            </w:r>
            <w:r w:rsidRPr="007D77F5">
              <w:rPr>
                <w:color w:val="000000"/>
                <w:sz w:val="20"/>
                <w:szCs w:val="20"/>
                <w:lang w:eastAsia="id-ID"/>
              </w:rPr>
              <w:t xml:space="preserve"> 8%</w:t>
            </w:r>
          </w:p>
        </w:tc>
      </w:tr>
    </w:tbl>
    <w:p w14:paraId="02BE90C9" w14:textId="3CFE0B3C" w:rsidR="000F2234" w:rsidRPr="00B171DE" w:rsidRDefault="000F2234" w:rsidP="00A94A80">
      <w:pPr>
        <w:ind w:firstLine="567"/>
        <w:jc w:val="both"/>
      </w:pPr>
    </w:p>
    <w:p w14:paraId="308BE6C0" w14:textId="0C72AD9C" w:rsidR="00230D2E" w:rsidRDefault="00230D2E" w:rsidP="00230D2E">
      <w:pPr>
        <w:ind w:firstLine="426"/>
        <w:jc w:val="both"/>
        <w:rPr>
          <w:sz w:val="20"/>
          <w:szCs w:val="20"/>
        </w:rPr>
      </w:pPr>
      <w:r w:rsidRPr="000F2234">
        <w:rPr>
          <w:sz w:val="20"/>
          <w:szCs w:val="20"/>
        </w:rPr>
        <w:t xml:space="preserve">Berdasarkan </w:t>
      </w:r>
      <w:r>
        <w:rPr>
          <w:sz w:val="20"/>
          <w:szCs w:val="20"/>
        </w:rPr>
        <w:t xml:space="preserve">Tabel 1 dan Gambar 1 menunjukkan bahwa </w:t>
      </w:r>
      <w:r w:rsidRPr="000F2234">
        <w:rPr>
          <w:sz w:val="20"/>
          <w:szCs w:val="20"/>
        </w:rPr>
        <w:t>urutan jumlah sel monosit yang hidup (viabel) dari paling rendah hingga tinggi adalah sel monosit yang dipapar MSG dengan konsentrasi 9%, konsentrasi 6%, konsentrasi 3%, dan kontrol sel. Sel monosit yang memiliki viabilitas terendah adalah sel monosit yang dipapar MSG dengan konsentrasi 9% yang ditunjukkan dengan nilai rata-rata viabilitas sebesar 35%.</w:t>
      </w:r>
      <w:r>
        <w:rPr>
          <w:sz w:val="20"/>
          <w:szCs w:val="20"/>
        </w:rPr>
        <w:t xml:space="preserve"> Sedangkan, rata-rata viabilitas sel monosit yang dipapar MSG dapat dilihat </w:t>
      </w:r>
      <w:r w:rsidR="00B171DE">
        <w:rPr>
          <w:sz w:val="20"/>
          <w:szCs w:val="20"/>
        </w:rPr>
        <w:t>pada Gambar 2 sebagai berikut.</w:t>
      </w:r>
    </w:p>
    <w:p w14:paraId="53D4A8E4" w14:textId="77777777" w:rsidR="00B171DE" w:rsidRDefault="00B171DE" w:rsidP="00230D2E">
      <w:pPr>
        <w:ind w:firstLine="426"/>
        <w:jc w:val="both"/>
        <w:rPr>
          <w:sz w:val="20"/>
          <w:szCs w:val="20"/>
        </w:rPr>
      </w:pPr>
    </w:p>
    <w:p w14:paraId="4B7EAB98" w14:textId="77777777" w:rsidR="00230D2E" w:rsidRDefault="00230D2E" w:rsidP="00230D2E">
      <w:pPr>
        <w:ind w:firstLine="426"/>
        <w:jc w:val="both"/>
        <w:rPr>
          <w:sz w:val="20"/>
          <w:szCs w:val="20"/>
        </w:rPr>
      </w:pPr>
    </w:p>
    <w:p w14:paraId="0B36A54D" w14:textId="77777777" w:rsidR="000F2234" w:rsidRPr="00B171DE" w:rsidRDefault="000F2234" w:rsidP="000F2234">
      <w:pPr>
        <w:jc w:val="center"/>
        <w:rPr>
          <w:sz w:val="20"/>
          <w:szCs w:val="20"/>
          <w14:textOutline w14:w="12700" w14:cap="rnd" w14:cmpd="sng" w14:algn="ctr">
            <w14:solidFill>
              <w14:schemeClr w14:val="tx1"/>
            </w14:solidFill>
            <w14:prstDash w14:val="solid"/>
            <w14:bevel/>
          </w14:textOutline>
        </w:rPr>
      </w:pPr>
      <w:r>
        <w:rPr>
          <w:noProof/>
        </w:rPr>
        <w:drawing>
          <wp:inline distT="0" distB="0" distL="0" distR="0" wp14:anchorId="4E5F102E" wp14:editId="22028433">
            <wp:extent cx="4747260" cy="1951892"/>
            <wp:effectExtent l="0" t="0" r="15240" b="10795"/>
            <wp:docPr id="31" name="Chart 31">
              <a:extLst xmlns:a="http://schemas.openxmlformats.org/drawingml/2006/main">
                <a:ext uri="{FF2B5EF4-FFF2-40B4-BE49-F238E27FC236}">
                  <a16:creationId xmlns:a16="http://schemas.microsoft.com/office/drawing/2014/main" id="{111C21C3-4AC7-4082-8324-62679298C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70399D" w14:textId="01E3148E" w:rsidR="000F2234" w:rsidRDefault="00B171DE" w:rsidP="000F2234">
      <w:pPr>
        <w:spacing w:line="480" w:lineRule="auto"/>
        <w:jc w:val="center"/>
        <w:rPr>
          <w:sz w:val="20"/>
          <w:szCs w:val="20"/>
        </w:rPr>
      </w:pPr>
      <w:r>
        <w:rPr>
          <w:sz w:val="20"/>
          <w:szCs w:val="20"/>
        </w:rPr>
        <w:t xml:space="preserve">  </w:t>
      </w:r>
      <w:r w:rsidR="000F2234" w:rsidRPr="00545C95">
        <w:rPr>
          <w:sz w:val="20"/>
          <w:szCs w:val="20"/>
        </w:rPr>
        <w:t>Gambar 2.</w:t>
      </w:r>
      <w:r w:rsidR="000F2234">
        <w:rPr>
          <w:b/>
          <w:bCs/>
          <w:sz w:val="20"/>
          <w:szCs w:val="20"/>
        </w:rPr>
        <w:t xml:space="preserve"> </w:t>
      </w:r>
      <w:r w:rsidR="000F2234" w:rsidRPr="003D44EE">
        <w:rPr>
          <w:sz w:val="20"/>
          <w:szCs w:val="20"/>
        </w:rPr>
        <w:t>Diagram Batang Viabilitas Sel Monosit yang dipapar</w:t>
      </w:r>
      <w:r w:rsidR="000F2234">
        <w:rPr>
          <w:b/>
          <w:bCs/>
          <w:sz w:val="20"/>
          <w:szCs w:val="20"/>
        </w:rPr>
        <w:t xml:space="preserve"> </w:t>
      </w:r>
      <w:r w:rsidR="000F2234" w:rsidRPr="003D44EE">
        <w:rPr>
          <w:i/>
          <w:iCs/>
          <w:sz w:val="20"/>
          <w:szCs w:val="20"/>
        </w:rPr>
        <w:t>Monosodium Glutamat</w:t>
      </w:r>
      <w:r w:rsidR="000F2234" w:rsidRPr="003D44EE">
        <w:rPr>
          <w:sz w:val="20"/>
          <w:szCs w:val="20"/>
        </w:rPr>
        <w:t xml:space="preserve"> (MSG)</w:t>
      </w:r>
      <w:r w:rsidR="000F2234">
        <w:rPr>
          <w:sz w:val="20"/>
          <w:szCs w:val="20"/>
        </w:rPr>
        <w:t>.</w:t>
      </w:r>
    </w:p>
    <w:p w14:paraId="2F20FF7E" w14:textId="653A7740" w:rsidR="000F2234" w:rsidRPr="000F2234" w:rsidRDefault="00230D2E" w:rsidP="000F2234">
      <w:pPr>
        <w:spacing w:before="240"/>
        <w:ind w:firstLine="567"/>
        <w:jc w:val="both"/>
        <w:rPr>
          <w:sz w:val="20"/>
          <w:szCs w:val="20"/>
        </w:rPr>
      </w:pPr>
      <w:r>
        <w:rPr>
          <w:sz w:val="20"/>
          <w:szCs w:val="20"/>
        </w:rPr>
        <w:lastRenderedPageBreak/>
        <w:t>P</w:t>
      </w:r>
      <w:r w:rsidR="00545C95">
        <w:rPr>
          <w:sz w:val="20"/>
          <w:szCs w:val="20"/>
        </w:rPr>
        <w:t xml:space="preserve">ada </w:t>
      </w:r>
      <w:r>
        <w:rPr>
          <w:sz w:val="20"/>
          <w:szCs w:val="20"/>
        </w:rPr>
        <w:t>G</w:t>
      </w:r>
      <w:r w:rsidR="00545C95">
        <w:rPr>
          <w:sz w:val="20"/>
          <w:szCs w:val="20"/>
        </w:rPr>
        <w:t>ambar 2 menunjukkan bahwa</w:t>
      </w:r>
      <w:r w:rsidR="000F2234" w:rsidRPr="000F2234">
        <w:rPr>
          <w:sz w:val="20"/>
          <w:szCs w:val="20"/>
        </w:rPr>
        <w:t xml:space="preserve"> sel monosit yang memiliki viabilitas tertinggi adalah kontrol sel yang ditunjukkan dengan nilai rata-rata viabilitas sebesar 63%</w:t>
      </w:r>
      <w:r w:rsidR="00545C95">
        <w:rPr>
          <w:sz w:val="20"/>
          <w:szCs w:val="20"/>
        </w:rPr>
        <w:t>.</w:t>
      </w:r>
    </w:p>
    <w:p w14:paraId="1C2E167A" w14:textId="187750C3" w:rsidR="000F2234" w:rsidRPr="00B171DE" w:rsidRDefault="000F2234" w:rsidP="000F2234">
      <w:pPr>
        <w:jc w:val="both"/>
      </w:pPr>
    </w:p>
    <w:p w14:paraId="3246D0FD" w14:textId="6FE02E92" w:rsidR="000F2234" w:rsidRDefault="00545C95" w:rsidP="000F2234">
      <w:pPr>
        <w:jc w:val="both"/>
        <w:rPr>
          <w:b/>
          <w:sz w:val="20"/>
        </w:rPr>
      </w:pPr>
      <w:r>
        <w:rPr>
          <w:b/>
          <w:sz w:val="20"/>
        </w:rPr>
        <w:t>Uji Statistik</w:t>
      </w:r>
    </w:p>
    <w:p w14:paraId="06678078" w14:textId="77777777" w:rsidR="00545C95" w:rsidRDefault="00545C95" w:rsidP="000F2234">
      <w:pPr>
        <w:jc w:val="both"/>
        <w:rPr>
          <w:b/>
          <w:sz w:val="20"/>
        </w:rPr>
      </w:pPr>
    </w:p>
    <w:p w14:paraId="76DDFC9C" w14:textId="6DEAE018" w:rsidR="000F2234" w:rsidRPr="003C50BA" w:rsidRDefault="000F2234" w:rsidP="00545C95">
      <w:pPr>
        <w:ind w:firstLine="426"/>
        <w:jc w:val="both"/>
        <w:rPr>
          <w:sz w:val="20"/>
        </w:rPr>
      </w:pPr>
      <w:r>
        <w:rPr>
          <w:sz w:val="20"/>
        </w:rPr>
        <w:t>Berdasarkan hasil penelitian yang diperoleh</w:t>
      </w:r>
      <w:r w:rsidR="00545C95">
        <w:rPr>
          <w:sz w:val="20"/>
        </w:rPr>
        <w:t xml:space="preserve"> selanjutnya dapa dilakukan uji </w:t>
      </w:r>
      <w:r w:rsidR="00435ED2">
        <w:rPr>
          <w:sz w:val="20"/>
        </w:rPr>
        <w:t>statistik menggunakan</w:t>
      </w:r>
      <w:r>
        <w:rPr>
          <w:sz w:val="20"/>
        </w:rPr>
        <w:t xml:space="preserve"> uji </w:t>
      </w:r>
      <w:r w:rsidR="00435ED2">
        <w:rPr>
          <w:sz w:val="20"/>
        </w:rPr>
        <w:t xml:space="preserve">ANOVA </w:t>
      </w:r>
      <w:r w:rsidR="00435ED2" w:rsidRPr="00435ED2">
        <w:rPr>
          <w:i/>
          <w:iCs/>
          <w:sz w:val="20"/>
        </w:rPr>
        <w:t>One</w:t>
      </w:r>
      <w:r w:rsidR="00435ED2">
        <w:rPr>
          <w:i/>
          <w:iCs/>
          <w:sz w:val="20"/>
        </w:rPr>
        <w:t xml:space="preserve"> </w:t>
      </w:r>
      <w:r w:rsidR="00435ED2" w:rsidRPr="00435ED2">
        <w:rPr>
          <w:i/>
          <w:iCs/>
          <w:sz w:val="20"/>
        </w:rPr>
        <w:t xml:space="preserve">Way </w:t>
      </w:r>
      <w:r w:rsidR="00545C95" w:rsidRPr="00545C95">
        <w:rPr>
          <w:sz w:val="20"/>
        </w:rPr>
        <w:t>yang dapat dilihat pada Tabel</w:t>
      </w:r>
      <w:r w:rsidR="00545C95">
        <w:rPr>
          <w:i/>
          <w:iCs/>
          <w:sz w:val="20"/>
        </w:rPr>
        <w:t xml:space="preserve"> 2 </w:t>
      </w:r>
      <w:r>
        <w:rPr>
          <w:sz w:val="20"/>
        </w:rPr>
        <w:t>sebagai berikut</w:t>
      </w:r>
      <w:r w:rsidR="00545C95">
        <w:rPr>
          <w:sz w:val="20"/>
        </w:rPr>
        <w:t>.</w:t>
      </w:r>
    </w:p>
    <w:p w14:paraId="34621831" w14:textId="3D30D918" w:rsidR="000F2234" w:rsidRDefault="000F2234" w:rsidP="000F2234">
      <w:pPr>
        <w:jc w:val="both"/>
        <w:rPr>
          <w:sz w:val="20"/>
          <w:szCs w:val="20"/>
        </w:rPr>
      </w:pPr>
    </w:p>
    <w:p w14:paraId="05649057" w14:textId="6478524C" w:rsidR="000F2234" w:rsidRPr="007D77F5" w:rsidRDefault="000F2234" w:rsidP="000F2234">
      <w:pPr>
        <w:jc w:val="center"/>
        <w:rPr>
          <w:sz w:val="20"/>
          <w:szCs w:val="20"/>
        </w:rPr>
      </w:pPr>
      <w:r w:rsidRPr="007D77F5">
        <w:rPr>
          <w:sz w:val="20"/>
          <w:szCs w:val="20"/>
        </w:rPr>
        <w:t xml:space="preserve">Tabel </w:t>
      </w:r>
      <w:r w:rsidR="00435ED2">
        <w:rPr>
          <w:sz w:val="20"/>
          <w:szCs w:val="20"/>
        </w:rPr>
        <w:t>2</w:t>
      </w:r>
      <w:r>
        <w:rPr>
          <w:sz w:val="20"/>
          <w:szCs w:val="20"/>
        </w:rPr>
        <w:t>.</w:t>
      </w:r>
      <w:r w:rsidRPr="007D77F5">
        <w:rPr>
          <w:b/>
          <w:bCs/>
          <w:sz w:val="20"/>
          <w:szCs w:val="20"/>
        </w:rPr>
        <w:t xml:space="preserve"> </w:t>
      </w:r>
      <w:r w:rsidRPr="007D77F5">
        <w:rPr>
          <w:sz w:val="20"/>
          <w:szCs w:val="20"/>
        </w:rPr>
        <w:t xml:space="preserve">Hasil </w:t>
      </w:r>
      <w:r w:rsidR="00435ED2">
        <w:rPr>
          <w:sz w:val="20"/>
          <w:szCs w:val="20"/>
        </w:rPr>
        <w:t xml:space="preserve">uji </w:t>
      </w:r>
      <w:r w:rsidR="00435ED2" w:rsidRPr="00435ED2">
        <w:rPr>
          <w:i/>
          <w:iCs/>
          <w:sz w:val="20"/>
          <w:szCs w:val="20"/>
        </w:rPr>
        <w:t>anova one-way</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534"/>
        <w:gridCol w:w="743"/>
        <w:gridCol w:w="1351"/>
        <w:gridCol w:w="743"/>
        <w:gridCol w:w="749"/>
      </w:tblGrid>
      <w:tr w:rsidR="000F2234" w:rsidRPr="000F2234" w14:paraId="6E43B055" w14:textId="77777777" w:rsidTr="00545C95">
        <w:trPr>
          <w:trHeight w:val="237"/>
          <w:jc w:val="center"/>
        </w:trPr>
        <w:tc>
          <w:tcPr>
            <w:tcW w:w="6627" w:type="dxa"/>
            <w:gridSpan w:val="6"/>
            <w:shd w:val="clear" w:color="auto" w:fill="auto"/>
            <w:noWrap/>
            <w:vAlign w:val="center"/>
            <w:hideMark/>
          </w:tcPr>
          <w:p w14:paraId="70CC7224" w14:textId="77777777" w:rsidR="000F2234" w:rsidRPr="000F2234" w:rsidRDefault="000F2234" w:rsidP="000F2234">
            <w:pPr>
              <w:jc w:val="center"/>
              <w:rPr>
                <w:b/>
                <w:bCs/>
                <w:color w:val="000000"/>
                <w:sz w:val="20"/>
                <w:szCs w:val="20"/>
                <w:lang w:eastAsia="zh-CN" w:bidi="hi-IN"/>
              </w:rPr>
            </w:pPr>
            <w:r w:rsidRPr="000F2234">
              <w:rPr>
                <w:b/>
                <w:bCs/>
                <w:color w:val="000000"/>
                <w:sz w:val="20"/>
                <w:szCs w:val="20"/>
                <w:lang w:eastAsia="zh-CN" w:bidi="hi-IN"/>
              </w:rPr>
              <w:t xml:space="preserve">Viabilitas </w:t>
            </w:r>
          </w:p>
        </w:tc>
      </w:tr>
      <w:tr w:rsidR="000F2234" w:rsidRPr="000F2234" w14:paraId="24BD304A" w14:textId="77777777" w:rsidTr="00545C95">
        <w:trPr>
          <w:trHeight w:val="245"/>
          <w:jc w:val="center"/>
        </w:trPr>
        <w:tc>
          <w:tcPr>
            <w:tcW w:w="1507" w:type="dxa"/>
            <w:shd w:val="clear" w:color="auto" w:fill="auto"/>
            <w:vAlign w:val="center"/>
            <w:hideMark/>
          </w:tcPr>
          <w:p w14:paraId="35D0A464" w14:textId="77777777" w:rsidR="000F2234" w:rsidRPr="000F2234" w:rsidRDefault="000F2234" w:rsidP="000F2234">
            <w:pPr>
              <w:jc w:val="center"/>
              <w:rPr>
                <w:b/>
                <w:bCs/>
                <w:color w:val="000000"/>
                <w:sz w:val="20"/>
                <w:szCs w:val="20"/>
                <w:lang w:eastAsia="zh-CN" w:bidi="hi-IN"/>
              </w:rPr>
            </w:pPr>
          </w:p>
        </w:tc>
        <w:tc>
          <w:tcPr>
            <w:tcW w:w="1534" w:type="dxa"/>
            <w:shd w:val="clear" w:color="000000" w:fill="FFFFFF"/>
            <w:vAlign w:val="center"/>
            <w:hideMark/>
          </w:tcPr>
          <w:p w14:paraId="203F5F61" w14:textId="77777777" w:rsidR="000F2234" w:rsidRPr="000F2234" w:rsidRDefault="000F2234" w:rsidP="000F2234">
            <w:pPr>
              <w:jc w:val="center"/>
              <w:rPr>
                <w:b/>
                <w:bCs/>
                <w:i/>
                <w:iCs/>
                <w:color w:val="000000"/>
                <w:sz w:val="20"/>
                <w:szCs w:val="20"/>
                <w:lang w:eastAsia="zh-CN" w:bidi="hi-IN"/>
              </w:rPr>
            </w:pPr>
            <w:r w:rsidRPr="000F2234">
              <w:rPr>
                <w:b/>
                <w:bCs/>
                <w:i/>
                <w:iCs/>
                <w:color w:val="000000"/>
                <w:sz w:val="20"/>
                <w:szCs w:val="20"/>
                <w:lang w:eastAsia="zh-CN" w:bidi="hi-IN"/>
              </w:rPr>
              <w:t>Sum of Squares</w:t>
            </w:r>
          </w:p>
        </w:tc>
        <w:tc>
          <w:tcPr>
            <w:tcW w:w="743" w:type="dxa"/>
            <w:shd w:val="clear" w:color="000000" w:fill="FFFFFF"/>
            <w:vAlign w:val="center"/>
            <w:hideMark/>
          </w:tcPr>
          <w:p w14:paraId="3A3AD7EB" w14:textId="77777777" w:rsidR="000F2234" w:rsidRPr="000F2234" w:rsidRDefault="000F2234" w:rsidP="000F2234">
            <w:pPr>
              <w:jc w:val="center"/>
              <w:rPr>
                <w:b/>
                <w:bCs/>
                <w:color w:val="000000"/>
                <w:sz w:val="20"/>
                <w:szCs w:val="20"/>
                <w:lang w:eastAsia="zh-CN" w:bidi="hi-IN"/>
              </w:rPr>
            </w:pPr>
            <w:r w:rsidRPr="000F2234">
              <w:rPr>
                <w:b/>
                <w:bCs/>
                <w:color w:val="000000"/>
                <w:sz w:val="20"/>
                <w:szCs w:val="20"/>
                <w:lang w:eastAsia="zh-CN" w:bidi="hi-IN"/>
              </w:rPr>
              <w:t>df</w:t>
            </w:r>
          </w:p>
        </w:tc>
        <w:tc>
          <w:tcPr>
            <w:tcW w:w="1351" w:type="dxa"/>
            <w:shd w:val="clear" w:color="000000" w:fill="FFFFFF"/>
            <w:vAlign w:val="center"/>
            <w:hideMark/>
          </w:tcPr>
          <w:p w14:paraId="7E7A1760" w14:textId="77777777" w:rsidR="000F2234" w:rsidRPr="000F2234" w:rsidRDefault="000F2234" w:rsidP="000F2234">
            <w:pPr>
              <w:jc w:val="center"/>
              <w:rPr>
                <w:b/>
                <w:bCs/>
                <w:i/>
                <w:iCs/>
                <w:color w:val="000000"/>
                <w:sz w:val="20"/>
                <w:szCs w:val="20"/>
                <w:lang w:eastAsia="zh-CN" w:bidi="hi-IN"/>
              </w:rPr>
            </w:pPr>
            <w:r w:rsidRPr="000F2234">
              <w:rPr>
                <w:b/>
                <w:bCs/>
                <w:i/>
                <w:iCs/>
                <w:color w:val="000000"/>
                <w:sz w:val="20"/>
                <w:szCs w:val="20"/>
                <w:lang w:eastAsia="zh-CN" w:bidi="hi-IN"/>
              </w:rPr>
              <w:t>Mean Square</w:t>
            </w:r>
          </w:p>
        </w:tc>
        <w:tc>
          <w:tcPr>
            <w:tcW w:w="743" w:type="dxa"/>
            <w:shd w:val="clear" w:color="000000" w:fill="FFFFFF"/>
            <w:vAlign w:val="center"/>
            <w:hideMark/>
          </w:tcPr>
          <w:p w14:paraId="2CDFC93E" w14:textId="77777777" w:rsidR="000F2234" w:rsidRPr="000F2234" w:rsidRDefault="000F2234" w:rsidP="000F2234">
            <w:pPr>
              <w:jc w:val="center"/>
              <w:rPr>
                <w:b/>
                <w:bCs/>
                <w:color w:val="000000"/>
                <w:sz w:val="20"/>
                <w:szCs w:val="20"/>
                <w:lang w:eastAsia="zh-CN" w:bidi="hi-IN"/>
              </w:rPr>
            </w:pPr>
            <w:r w:rsidRPr="000F2234">
              <w:rPr>
                <w:b/>
                <w:bCs/>
                <w:color w:val="000000"/>
                <w:sz w:val="20"/>
                <w:szCs w:val="20"/>
                <w:lang w:eastAsia="zh-CN" w:bidi="hi-IN"/>
              </w:rPr>
              <w:t>F</w:t>
            </w:r>
          </w:p>
        </w:tc>
        <w:tc>
          <w:tcPr>
            <w:tcW w:w="749" w:type="dxa"/>
            <w:shd w:val="clear" w:color="000000" w:fill="FFFFFF"/>
            <w:vAlign w:val="center"/>
            <w:hideMark/>
          </w:tcPr>
          <w:p w14:paraId="203823AC" w14:textId="77777777" w:rsidR="000F2234" w:rsidRPr="000F2234" w:rsidRDefault="000F2234" w:rsidP="000F2234">
            <w:pPr>
              <w:jc w:val="center"/>
              <w:rPr>
                <w:b/>
                <w:bCs/>
                <w:color w:val="000000"/>
                <w:sz w:val="20"/>
                <w:szCs w:val="20"/>
                <w:lang w:eastAsia="zh-CN" w:bidi="hi-IN"/>
              </w:rPr>
            </w:pPr>
            <w:r w:rsidRPr="000F2234">
              <w:rPr>
                <w:b/>
                <w:bCs/>
                <w:color w:val="000000"/>
                <w:sz w:val="20"/>
                <w:szCs w:val="20"/>
                <w:lang w:eastAsia="zh-CN" w:bidi="hi-IN"/>
              </w:rPr>
              <w:t>Sig.</w:t>
            </w:r>
          </w:p>
        </w:tc>
      </w:tr>
      <w:tr w:rsidR="000F2234" w:rsidRPr="000F2234" w14:paraId="7D040747" w14:textId="77777777" w:rsidTr="00545C95">
        <w:trPr>
          <w:cantSplit/>
          <w:trHeight w:val="222"/>
          <w:jc w:val="center"/>
        </w:trPr>
        <w:tc>
          <w:tcPr>
            <w:tcW w:w="1507" w:type="dxa"/>
            <w:shd w:val="clear" w:color="000000" w:fill="FFFFFF"/>
            <w:vAlign w:val="center"/>
            <w:hideMark/>
          </w:tcPr>
          <w:p w14:paraId="08F24035"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Between Groups</w:t>
            </w:r>
          </w:p>
        </w:tc>
        <w:tc>
          <w:tcPr>
            <w:tcW w:w="1534" w:type="dxa"/>
            <w:shd w:val="clear" w:color="000000" w:fill="FFFFFF"/>
            <w:vAlign w:val="center"/>
            <w:hideMark/>
          </w:tcPr>
          <w:p w14:paraId="5095E301"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2416,5</w:t>
            </w:r>
          </w:p>
        </w:tc>
        <w:tc>
          <w:tcPr>
            <w:tcW w:w="743" w:type="dxa"/>
            <w:shd w:val="clear" w:color="000000" w:fill="FFFFFF"/>
            <w:vAlign w:val="center"/>
            <w:hideMark/>
          </w:tcPr>
          <w:p w14:paraId="21328E95"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3</w:t>
            </w:r>
          </w:p>
        </w:tc>
        <w:tc>
          <w:tcPr>
            <w:tcW w:w="1351" w:type="dxa"/>
            <w:shd w:val="clear" w:color="000000" w:fill="FFFFFF"/>
            <w:vAlign w:val="center"/>
            <w:hideMark/>
          </w:tcPr>
          <w:p w14:paraId="2B94AF37"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805,5</w:t>
            </w:r>
          </w:p>
        </w:tc>
        <w:tc>
          <w:tcPr>
            <w:tcW w:w="743" w:type="dxa"/>
            <w:shd w:val="clear" w:color="000000" w:fill="FFFFFF"/>
            <w:vAlign w:val="center"/>
            <w:hideMark/>
          </w:tcPr>
          <w:p w14:paraId="02129698"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3,16</w:t>
            </w:r>
          </w:p>
        </w:tc>
        <w:tc>
          <w:tcPr>
            <w:tcW w:w="749" w:type="dxa"/>
            <w:shd w:val="clear" w:color="000000" w:fill="FFFFFF"/>
            <w:vAlign w:val="center"/>
            <w:hideMark/>
          </w:tcPr>
          <w:p w14:paraId="1E27EEE2"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0,047</w:t>
            </w:r>
          </w:p>
        </w:tc>
      </w:tr>
      <w:tr w:rsidR="000F2234" w:rsidRPr="000F2234" w14:paraId="0DA5772F" w14:textId="77777777" w:rsidTr="00545C95">
        <w:trPr>
          <w:cantSplit/>
          <w:trHeight w:val="252"/>
          <w:jc w:val="center"/>
        </w:trPr>
        <w:tc>
          <w:tcPr>
            <w:tcW w:w="1507" w:type="dxa"/>
            <w:shd w:val="clear" w:color="000000" w:fill="FFFFFF"/>
            <w:vAlign w:val="center"/>
            <w:hideMark/>
          </w:tcPr>
          <w:p w14:paraId="1E9821F6"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Within Groups</w:t>
            </w:r>
          </w:p>
        </w:tc>
        <w:tc>
          <w:tcPr>
            <w:tcW w:w="1534" w:type="dxa"/>
            <w:shd w:val="clear" w:color="000000" w:fill="FFFFFF"/>
            <w:vAlign w:val="center"/>
            <w:hideMark/>
          </w:tcPr>
          <w:p w14:paraId="4D5B94E3"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5097,333</w:t>
            </w:r>
          </w:p>
        </w:tc>
        <w:tc>
          <w:tcPr>
            <w:tcW w:w="743" w:type="dxa"/>
            <w:shd w:val="clear" w:color="000000" w:fill="FFFFFF"/>
            <w:vAlign w:val="center"/>
            <w:hideMark/>
          </w:tcPr>
          <w:p w14:paraId="4D6B9CFC"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20</w:t>
            </w:r>
          </w:p>
        </w:tc>
        <w:tc>
          <w:tcPr>
            <w:tcW w:w="1351" w:type="dxa"/>
            <w:shd w:val="clear" w:color="000000" w:fill="FFFFFF"/>
            <w:vAlign w:val="center"/>
            <w:hideMark/>
          </w:tcPr>
          <w:p w14:paraId="34724531"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254,867</w:t>
            </w:r>
          </w:p>
        </w:tc>
        <w:tc>
          <w:tcPr>
            <w:tcW w:w="743" w:type="dxa"/>
            <w:shd w:val="clear" w:color="000000" w:fill="FFFFFF"/>
            <w:vAlign w:val="center"/>
            <w:hideMark/>
          </w:tcPr>
          <w:p w14:paraId="1ED533E2"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 </w:t>
            </w:r>
          </w:p>
        </w:tc>
        <w:tc>
          <w:tcPr>
            <w:tcW w:w="749" w:type="dxa"/>
            <w:shd w:val="clear" w:color="000000" w:fill="FFFFFF"/>
            <w:vAlign w:val="center"/>
            <w:hideMark/>
          </w:tcPr>
          <w:p w14:paraId="743418B9"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 </w:t>
            </w:r>
          </w:p>
        </w:tc>
      </w:tr>
      <w:tr w:rsidR="000F2234" w:rsidRPr="000F2234" w14:paraId="1FB8E51A" w14:textId="77777777" w:rsidTr="00545C95">
        <w:trPr>
          <w:cantSplit/>
          <w:trHeight w:val="237"/>
          <w:jc w:val="center"/>
        </w:trPr>
        <w:tc>
          <w:tcPr>
            <w:tcW w:w="1507" w:type="dxa"/>
            <w:shd w:val="clear" w:color="000000" w:fill="FFFFFF"/>
            <w:vAlign w:val="center"/>
            <w:hideMark/>
          </w:tcPr>
          <w:p w14:paraId="1FD9F0DC"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Total</w:t>
            </w:r>
          </w:p>
        </w:tc>
        <w:tc>
          <w:tcPr>
            <w:tcW w:w="1534" w:type="dxa"/>
            <w:shd w:val="clear" w:color="000000" w:fill="FFFFFF"/>
            <w:vAlign w:val="center"/>
            <w:hideMark/>
          </w:tcPr>
          <w:p w14:paraId="06F9F6E6"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7513,833</w:t>
            </w:r>
          </w:p>
        </w:tc>
        <w:tc>
          <w:tcPr>
            <w:tcW w:w="743" w:type="dxa"/>
            <w:shd w:val="clear" w:color="000000" w:fill="FFFFFF"/>
            <w:vAlign w:val="center"/>
            <w:hideMark/>
          </w:tcPr>
          <w:p w14:paraId="3E819A44"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23</w:t>
            </w:r>
          </w:p>
        </w:tc>
        <w:tc>
          <w:tcPr>
            <w:tcW w:w="1351" w:type="dxa"/>
            <w:shd w:val="clear" w:color="000000" w:fill="FFFFFF"/>
            <w:vAlign w:val="center"/>
            <w:hideMark/>
          </w:tcPr>
          <w:p w14:paraId="0D07EBD6"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 </w:t>
            </w:r>
          </w:p>
        </w:tc>
        <w:tc>
          <w:tcPr>
            <w:tcW w:w="743" w:type="dxa"/>
            <w:shd w:val="clear" w:color="000000" w:fill="FFFFFF"/>
            <w:vAlign w:val="center"/>
            <w:hideMark/>
          </w:tcPr>
          <w:p w14:paraId="03EF2F03"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 </w:t>
            </w:r>
          </w:p>
        </w:tc>
        <w:tc>
          <w:tcPr>
            <w:tcW w:w="749" w:type="dxa"/>
            <w:shd w:val="clear" w:color="000000" w:fill="FFFFFF"/>
            <w:vAlign w:val="center"/>
            <w:hideMark/>
          </w:tcPr>
          <w:p w14:paraId="09EB3765" w14:textId="77777777" w:rsidR="000F2234" w:rsidRPr="000F2234" w:rsidRDefault="000F2234" w:rsidP="000F2234">
            <w:pPr>
              <w:jc w:val="center"/>
              <w:rPr>
                <w:color w:val="000000"/>
                <w:sz w:val="20"/>
                <w:szCs w:val="20"/>
                <w:lang w:eastAsia="zh-CN" w:bidi="hi-IN"/>
              </w:rPr>
            </w:pPr>
            <w:r w:rsidRPr="000F2234">
              <w:rPr>
                <w:color w:val="000000"/>
                <w:sz w:val="20"/>
                <w:szCs w:val="20"/>
                <w:lang w:eastAsia="zh-CN" w:bidi="hi-IN"/>
              </w:rPr>
              <w:t> </w:t>
            </w:r>
          </w:p>
        </w:tc>
      </w:tr>
    </w:tbl>
    <w:p w14:paraId="085EFB3F" w14:textId="77777777" w:rsidR="00545C95" w:rsidRDefault="00545C95" w:rsidP="00435ED2">
      <w:pPr>
        <w:ind w:firstLine="567"/>
        <w:jc w:val="both"/>
        <w:rPr>
          <w:sz w:val="20"/>
          <w:szCs w:val="20"/>
        </w:rPr>
      </w:pPr>
    </w:p>
    <w:p w14:paraId="0C0016D7" w14:textId="2B741047" w:rsidR="00435ED2" w:rsidRDefault="00545C95" w:rsidP="00545C95">
      <w:pPr>
        <w:ind w:firstLine="426"/>
        <w:jc w:val="both"/>
        <w:rPr>
          <w:sz w:val="20"/>
          <w:szCs w:val="20"/>
        </w:rPr>
      </w:pPr>
      <w:r>
        <w:rPr>
          <w:sz w:val="20"/>
          <w:szCs w:val="20"/>
        </w:rPr>
        <w:t>Tabel 2 menunjukkan h</w:t>
      </w:r>
      <w:r w:rsidR="00435ED2" w:rsidRPr="00435ED2">
        <w:rPr>
          <w:sz w:val="20"/>
          <w:szCs w:val="20"/>
        </w:rPr>
        <w:t xml:space="preserve">asil yang diperoleh pada uji </w:t>
      </w:r>
      <w:r w:rsidR="00435ED2" w:rsidRPr="00435ED2">
        <w:rPr>
          <w:i/>
          <w:iCs/>
          <w:sz w:val="20"/>
          <w:szCs w:val="20"/>
        </w:rPr>
        <w:t>anova one-way</w:t>
      </w:r>
      <w:r w:rsidR="00435ED2" w:rsidRPr="00435ED2">
        <w:rPr>
          <w:sz w:val="20"/>
          <w:szCs w:val="20"/>
        </w:rPr>
        <w:t xml:space="preserve"> adalah sebesar 0,047 dengan interpretasi apabila nilai apabila nilai p &gt; 0,05 maka Ho diterima. Sedangkan apabila nilai p &lt; 0,05 maka Ho ditolak. Berdasarkan hasil diatas, maka Ho ditolak yang berarti terdapat pengaruh yang signifikan paparan MSG terhadap viabilitas sel monosit. </w:t>
      </w:r>
    </w:p>
    <w:p w14:paraId="6AC30736" w14:textId="3F97BAE1" w:rsidR="00435ED2" w:rsidRPr="00435ED2" w:rsidRDefault="00435ED2" w:rsidP="00545C95">
      <w:pPr>
        <w:ind w:firstLine="426"/>
        <w:jc w:val="both"/>
        <w:rPr>
          <w:sz w:val="20"/>
          <w:szCs w:val="20"/>
        </w:rPr>
      </w:pPr>
      <w:r w:rsidRPr="00435ED2">
        <w:rPr>
          <w:sz w:val="20"/>
          <w:szCs w:val="20"/>
        </w:rPr>
        <w:t>Selanjutnya untuk mengetahui secara detail perbedaan signifikansi antar kelompok perlakuan maka perlu dilakukan uji post hoc salah satunya menggunakan uji LSD (</w:t>
      </w:r>
      <w:r w:rsidRPr="00435ED2">
        <w:rPr>
          <w:i/>
          <w:iCs/>
          <w:sz w:val="20"/>
          <w:szCs w:val="20"/>
        </w:rPr>
        <w:t>Least Significant Difference</w:t>
      </w:r>
      <w:r w:rsidRPr="00435ED2">
        <w:rPr>
          <w:sz w:val="20"/>
          <w:szCs w:val="20"/>
        </w:rPr>
        <w:t>). Hasil yang diperoleh dari data viabilitas antara masing – masing kelompok perlakuan dikatakan memiliki signifikansi dengan kelompok perlakuan yang lain apabila nilai p &lt; 0,05</w:t>
      </w:r>
      <w:r w:rsidR="00545C95">
        <w:rPr>
          <w:sz w:val="20"/>
          <w:szCs w:val="20"/>
        </w:rPr>
        <w:t xml:space="preserve"> yang dapat dilihat pada Tabel 3 sebagai berikut.</w:t>
      </w:r>
    </w:p>
    <w:p w14:paraId="4D04E434" w14:textId="4FB37176" w:rsidR="00435ED2" w:rsidRDefault="00435ED2" w:rsidP="00435ED2">
      <w:pPr>
        <w:ind w:firstLine="567"/>
        <w:jc w:val="both"/>
        <w:rPr>
          <w:sz w:val="20"/>
          <w:szCs w:val="20"/>
        </w:rPr>
      </w:pPr>
    </w:p>
    <w:p w14:paraId="3C79690C" w14:textId="5D1D4B8E" w:rsidR="00435ED2" w:rsidRPr="00435ED2" w:rsidRDefault="00435ED2" w:rsidP="00435ED2">
      <w:pPr>
        <w:jc w:val="center"/>
        <w:rPr>
          <w:sz w:val="20"/>
          <w:szCs w:val="20"/>
        </w:rPr>
      </w:pPr>
      <w:r w:rsidRPr="00435ED2">
        <w:rPr>
          <w:sz w:val="20"/>
          <w:szCs w:val="20"/>
        </w:rPr>
        <w:t xml:space="preserve">Tabel </w:t>
      </w:r>
      <w:r>
        <w:rPr>
          <w:sz w:val="20"/>
          <w:szCs w:val="20"/>
        </w:rPr>
        <w:t>3.</w:t>
      </w:r>
      <w:r w:rsidRPr="00435ED2">
        <w:rPr>
          <w:b/>
          <w:bCs/>
          <w:sz w:val="20"/>
          <w:szCs w:val="20"/>
        </w:rPr>
        <w:t xml:space="preserve"> </w:t>
      </w:r>
      <w:r w:rsidRPr="00435ED2">
        <w:rPr>
          <w:sz w:val="20"/>
          <w:szCs w:val="20"/>
        </w:rPr>
        <w:t xml:space="preserve">Hasil uji </w:t>
      </w:r>
      <w:r w:rsidRPr="00435ED2">
        <w:rPr>
          <w:i/>
          <w:iCs/>
          <w:sz w:val="20"/>
          <w:szCs w:val="20"/>
        </w:rPr>
        <w:t xml:space="preserve">Least Significant Difference </w:t>
      </w:r>
      <w:r w:rsidRPr="00435ED2">
        <w:rPr>
          <w:sz w:val="20"/>
          <w:szCs w:val="20"/>
        </w:rPr>
        <w:t>(LSD)</w:t>
      </w:r>
    </w:p>
    <w:tbl>
      <w:tblPr>
        <w:tblW w:w="7273" w:type="dxa"/>
        <w:jc w:val="center"/>
        <w:tblLook w:val="04A0" w:firstRow="1" w:lastRow="0" w:firstColumn="1" w:lastColumn="0" w:noHBand="0" w:noVBand="1"/>
      </w:tblPr>
      <w:tblGrid>
        <w:gridCol w:w="2037"/>
        <w:gridCol w:w="1008"/>
        <w:gridCol w:w="1378"/>
        <w:gridCol w:w="1250"/>
        <w:gridCol w:w="1378"/>
        <w:gridCol w:w="222"/>
      </w:tblGrid>
      <w:tr w:rsidR="00435ED2" w:rsidRPr="00435ED2" w14:paraId="66AF41AC" w14:textId="77777777" w:rsidTr="00545C95">
        <w:trPr>
          <w:gridAfter w:val="1"/>
          <w:wAfter w:w="222" w:type="dxa"/>
          <w:trHeight w:val="458"/>
          <w:jc w:val="center"/>
        </w:trPr>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FC1FC" w14:textId="77777777" w:rsidR="00435ED2" w:rsidRPr="00435ED2" w:rsidRDefault="00435ED2" w:rsidP="00435ED2">
            <w:pPr>
              <w:jc w:val="center"/>
              <w:rPr>
                <w:b/>
                <w:bCs/>
                <w:color w:val="000000"/>
                <w:sz w:val="20"/>
                <w:szCs w:val="20"/>
                <w:lang w:eastAsia="zh-CN" w:bidi="hi-IN"/>
              </w:rPr>
            </w:pPr>
            <w:r w:rsidRPr="00435ED2">
              <w:rPr>
                <w:b/>
                <w:bCs/>
                <w:color w:val="000000"/>
                <w:sz w:val="20"/>
                <w:szCs w:val="20"/>
                <w:lang w:eastAsia="zh-CN" w:bidi="hi-IN"/>
              </w:rPr>
              <w:t>Kelompok</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1A51C" w14:textId="77777777" w:rsidR="00435ED2" w:rsidRPr="00435ED2" w:rsidRDefault="00435ED2" w:rsidP="00435ED2">
            <w:pPr>
              <w:jc w:val="center"/>
              <w:rPr>
                <w:b/>
                <w:bCs/>
                <w:color w:val="000000"/>
                <w:sz w:val="20"/>
                <w:szCs w:val="20"/>
                <w:lang w:eastAsia="zh-CN" w:bidi="hi-IN"/>
              </w:rPr>
            </w:pPr>
            <w:r w:rsidRPr="00435ED2">
              <w:rPr>
                <w:b/>
                <w:bCs/>
                <w:color w:val="000000"/>
                <w:sz w:val="20"/>
                <w:szCs w:val="20"/>
                <w:lang w:eastAsia="zh-CN" w:bidi="hi-IN"/>
              </w:rPr>
              <w:t>Kontrol Sel</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7DE5D" w14:textId="77777777" w:rsidR="00435ED2" w:rsidRPr="00435ED2" w:rsidRDefault="00435ED2" w:rsidP="00435ED2">
            <w:pPr>
              <w:jc w:val="center"/>
              <w:rPr>
                <w:b/>
                <w:bCs/>
                <w:color w:val="000000"/>
                <w:sz w:val="20"/>
                <w:szCs w:val="20"/>
                <w:lang w:eastAsia="zh-CN" w:bidi="hi-IN"/>
              </w:rPr>
            </w:pPr>
            <w:r w:rsidRPr="00435ED2">
              <w:rPr>
                <w:b/>
                <w:bCs/>
                <w:color w:val="000000"/>
                <w:sz w:val="20"/>
                <w:szCs w:val="20"/>
                <w:lang w:eastAsia="zh-CN" w:bidi="hi-IN"/>
              </w:rPr>
              <w:t>Konsentrasi MSG 3%</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A82A7" w14:textId="77777777" w:rsidR="00435ED2" w:rsidRPr="00435ED2" w:rsidRDefault="00435ED2" w:rsidP="00435ED2">
            <w:pPr>
              <w:jc w:val="center"/>
              <w:rPr>
                <w:b/>
                <w:bCs/>
                <w:color w:val="000000"/>
                <w:sz w:val="20"/>
                <w:szCs w:val="20"/>
                <w:lang w:eastAsia="zh-CN" w:bidi="hi-IN"/>
              </w:rPr>
            </w:pPr>
            <w:r w:rsidRPr="00435ED2">
              <w:rPr>
                <w:b/>
                <w:bCs/>
                <w:color w:val="000000"/>
                <w:sz w:val="20"/>
                <w:szCs w:val="20"/>
                <w:lang w:eastAsia="zh-CN" w:bidi="hi-IN"/>
              </w:rPr>
              <w:t>Konsentrasi MSG 6%</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33E07" w14:textId="77777777" w:rsidR="00435ED2" w:rsidRPr="00435ED2" w:rsidRDefault="00435ED2" w:rsidP="00435ED2">
            <w:pPr>
              <w:jc w:val="center"/>
              <w:rPr>
                <w:b/>
                <w:bCs/>
                <w:color w:val="000000"/>
                <w:sz w:val="20"/>
                <w:szCs w:val="20"/>
                <w:lang w:eastAsia="zh-CN" w:bidi="hi-IN"/>
              </w:rPr>
            </w:pPr>
            <w:r w:rsidRPr="00435ED2">
              <w:rPr>
                <w:b/>
                <w:bCs/>
                <w:color w:val="000000"/>
                <w:sz w:val="20"/>
                <w:szCs w:val="20"/>
                <w:lang w:eastAsia="zh-CN" w:bidi="hi-IN"/>
              </w:rPr>
              <w:t>Konsentrasi MSG 9%</w:t>
            </w:r>
          </w:p>
        </w:tc>
      </w:tr>
      <w:tr w:rsidR="00435ED2" w:rsidRPr="00435ED2" w14:paraId="0E0CF46E" w14:textId="77777777" w:rsidTr="00545C95">
        <w:trPr>
          <w:trHeight w:val="224"/>
          <w:jc w:val="center"/>
        </w:trPr>
        <w:tc>
          <w:tcPr>
            <w:tcW w:w="2037" w:type="dxa"/>
            <w:vMerge/>
            <w:tcBorders>
              <w:top w:val="single" w:sz="4" w:space="0" w:color="auto"/>
              <w:left w:val="single" w:sz="4" w:space="0" w:color="auto"/>
              <w:bottom w:val="single" w:sz="4" w:space="0" w:color="auto"/>
              <w:right w:val="single" w:sz="4" w:space="0" w:color="auto"/>
            </w:tcBorders>
            <w:vAlign w:val="center"/>
            <w:hideMark/>
          </w:tcPr>
          <w:p w14:paraId="6C7746FD" w14:textId="77777777" w:rsidR="00435ED2" w:rsidRPr="00435ED2" w:rsidRDefault="00435ED2" w:rsidP="00435ED2">
            <w:pPr>
              <w:rPr>
                <w:b/>
                <w:bCs/>
                <w:color w:val="000000"/>
                <w:sz w:val="20"/>
                <w:szCs w:val="20"/>
                <w:lang w:eastAsia="zh-CN" w:bidi="hi-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6EB3A24" w14:textId="77777777" w:rsidR="00435ED2" w:rsidRPr="00435ED2" w:rsidRDefault="00435ED2" w:rsidP="00435ED2">
            <w:pPr>
              <w:rPr>
                <w:b/>
                <w:bCs/>
                <w:color w:val="000000"/>
                <w:sz w:val="20"/>
                <w:szCs w:val="20"/>
                <w:lang w:eastAsia="zh-CN" w:bidi="hi-IN"/>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9225602" w14:textId="77777777" w:rsidR="00435ED2" w:rsidRPr="00435ED2" w:rsidRDefault="00435ED2" w:rsidP="00435ED2">
            <w:pPr>
              <w:rPr>
                <w:b/>
                <w:bCs/>
                <w:color w:val="000000"/>
                <w:sz w:val="20"/>
                <w:szCs w:val="20"/>
                <w:lang w:eastAsia="zh-CN" w:bidi="hi-IN"/>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54A9040" w14:textId="77777777" w:rsidR="00435ED2" w:rsidRPr="00435ED2" w:rsidRDefault="00435ED2" w:rsidP="00435ED2">
            <w:pPr>
              <w:rPr>
                <w:b/>
                <w:bCs/>
                <w:color w:val="000000"/>
                <w:sz w:val="20"/>
                <w:szCs w:val="20"/>
                <w:lang w:eastAsia="zh-CN" w:bidi="hi-IN"/>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88CB51B" w14:textId="77777777" w:rsidR="00435ED2" w:rsidRPr="00435ED2" w:rsidRDefault="00435ED2" w:rsidP="00435ED2">
            <w:pPr>
              <w:rPr>
                <w:b/>
                <w:bCs/>
                <w:color w:val="000000"/>
                <w:sz w:val="20"/>
                <w:szCs w:val="20"/>
                <w:lang w:eastAsia="zh-CN" w:bidi="hi-IN"/>
              </w:rPr>
            </w:pPr>
          </w:p>
        </w:tc>
        <w:tc>
          <w:tcPr>
            <w:tcW w:w="222" w:type="dxa"/>
            <w:tcBorders>
              <w:top w:val="nil"/>
              <w:left w:val="single" w:sz="4" w:space="0" w:color="auto"/>
              <w:bottom w:val="nil"/>
              <w:right w:val="nil"/>
            </w:tcBorders>
            <w:shd w:val="clear" w:color="auto" w:fill="auto"/>
            <w:noWrap/>
            <w:vAlign w:val="bottom"/>
            <w:hideMark/>
          </w:tcPr>
          <w:p w14:paraId="190C75B9" w14:textId="77777777" w:rsidR="00435ED2" w:rsidRPr="00435ED2" w:rsidRDefault="00435ED2" w:rsidP="00435ED2">
            <w:pPr>
              <w:jc w:val="center"/>
              <w:rPr>
                <w:b/>
                <w:bCs/>
                <w:color w:val="000000"/>
                <w:sz w:val="20"/>
                <w:szCs w:val="20"/>
                <w:lang w:eastAsia="zh-CN" w:bidi="hi-IN"/>
              </w:rPr>
            </w:pPr>
          </w:p>
        </w:tc>
      </w:tr>
      <w:tr w:rsidR="00435ED2" w:rsidRPr="00435ED2" w14:paraId="353A8323" w14:textId="77777777" w:rsidTr="00545C95">
        <w:trPr>
          <w:trHeight w:val="231"/>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9D89C"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Kontrol Sel</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7986F"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CA44"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0,105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7AEE"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0,065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BC969" w14:textId="77777777" w:rsidR="00435ED2" w:rsidRPr="00435ED2" w:rsidRDefault="00435ED2" w:rsidP="00435ED2">
            <w:pPr>
              <w:jc w:val="center"/>
              <w:rPr>
                <w:color w:val="000000"/>
                <w:sz w:val="20"/>
                <w:szCs w:val="20"/>
                <w:vertAlign w:val="superscript"/>
                <w:lang w:eastAsia="zh-CN" w:bidi="hi-IN"/>
              </w:rPr>
            </w:pPr>
            <w:r w:rsidRPr="00435ED2">
              <w:rPr>
                <w:color w:val="000000"/>
                <w:sz w:val="20"/>
                <w:szCs w:val="20"/>
                <w:lang w:eastAsia="zh-CN" w:bidi="hi-IN"/>
              </w:rPr>
              <w:t>0,006</w:t>
            </w:r>
            <w:r w:rsidRPr="00435ED2">
              <w:rPr>
                <w:color w:val="000000"/>
                <w:sz w:val="20"/>
                <w:szCs w:val="20"/>
                <w:vertAlign w:val="superscript"/>
                <w:lang w:eastAsia="zh-CN" w:bidi="hi-IN"/>
              </w:rPr>
              <w:t>*</w:t>
            </w:r>
          </w:p>
        </w:tc>
        <w:tc>
          <w:tcPr>
            <w:tcW w:w="222" w:type="dxa"/>
            <w:tcBorders>
              <w:left w:val="single" w:sz="4" w:space="0" w:color="auto"/>
            </w:tcBorders>
            <w:vAlign w:val="center"/>
            <w:hideMark/>
          </w:tcPr>
          <w:p w14:paraId="1DFAAFE4" w14:textId="77777777" w:rsidR="00435ED2" w:rsidRPr="00435ED2" w:rsidRDefault="00435ED2" w:rsidP="00435ED2">
            <w:pPr>
              <w:rPr>
                <w:sz w:val="20"/>
                <w:szCs w:val="20"/>
                <w:lang w:eastAsia="zh-CN" w:bidi="hi-IN"/>
              </w:rPr>
            </w:pPr>
          </w:p>
        </w:tc>
      </w:tr>
      <w:tr w:rsidR="00435ED2" w:rsidRPr="00435ED2" w14:paraId="2E454E81" w14:textId="77777777" w:rsidTr="00545C95">
        <w:trPr>
          <w:trHeight w:val="231"/>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B03B"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Konsentrasi MSG 3%</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68B18"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0,105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F262"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96B32"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0,803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55F3"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0,196</w:t>
            </w:r>
          </w:p>
        </w:tc>
        <w:tc>
          <w:tcPr>
            <w:tcW w:w="222" w:type="dxa"/>
            <w:tcBorders>
              <w:left w:val="single" w:sz="4" w:space="0" w:color="auto"/>
            </w:tcBorders>
            <w:vAlign w:val="center"/>
            <w:hideMark/>
          </w:tcPr>
          <w:p w14:paraId="4D681D9F" w14:textId="77777777" w:rsidR="00435ED2" w:rsidRPr="00435ED2" w:rsidRDefault="00435ED2" w:rsidP="00435ED2">
            <w:pPr>
              <w:rPr>
                <w:sz w:val="20"/>
                <w:szCs w:val="20"/>
                <w:lang w:eastAsia="zh-CN" w:bidi="hi-IN"/>
              </w:rPr>
            </w:pPr>
          </w:p>
        </w:tc>
      </w:tr>
      <w:tr w:rsidR="00435ED2" w:rsidRPr="00435ED2" w14:paraId="044BF8CA" w14:textId="77777777" w:rsidTr="00545C95">
        <w:trPr>
          <w:trHeight w:val="231"/>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7A5D"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Konsentrasi MSG 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010E8"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0,065</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8D4B"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0,803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3736"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 </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D899"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0,291</w:t>
            </w:r>
          </w:p>
        </w:tc>
        <w:tc>
          <w:tcPr>
            <w:tcW w:w="222" w:type="dxa"/>
            <w:tcBorders>
              <w:left w:val="single" w:sz="4" w:space="0" w:color="auto"/>
            </w:tcBorders>
            <w:vAlign w:val="center"/>
            <w:hideMark/>
          </w:tcPr>
          <w:p w14:paraId="50165872" w14:textId="77777777" w:rsidR="00435ED2" w:rsidRPr="00435ED2" w:rsidRDefault="00435ED2" w:rsidP="00435ED2">
            <w:pPr>
              <w:rPr>
                <w:sz w:val="20"/>
                <w:szCs w:val="20"/>
                <w:lang w:eastAsia="zh-CN" w:bidi="hi-IN"/>
              </w:rPr>
            </w:pPr>
          </w:p>
        </w:tc>
      </w:tr>
      <w:tr w:rsidR="00435ED2" w:rsidRPr="00435ED2" w14:paraId="4CFC1C1D" w14:textId="77777777" w:rsidTr="00545C95">
        <w:trPr>
          <w:trHeight w:val="231"/>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41C05"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Konsentrasi MSG 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E653" w14:textId="77777777" w:rsidR="00435ED2" w:rsidRPr="00435ED2" w:rsidRDefault="00435ED2" w:rsidP="00435ED2">
            <w:pPr>
              <w:jc w:val="center"/>
              <w:rPr>
                <w:color w:val="000000"/>
                <w:sz w:val="20"/>
                <w:szCs w:val="20"/>
                <w:vertAlign w:val="superscript"/>
                <w:lang w:eastAsia="zh-CN" w:bidi="hi-IN"/>
              </w:rPr>
            </w:pPr>
            <w:r w:rsidRPr="00435ED2">
              <w:rPr>
                <w:color w:val="000000"/>
                <w:sz w:val="20"/>
                <w:szCs w:val="20"/>
                <w:lang w:eastAsia="zh-CN" w:bidi="hi-IN"/>
              </w:rPr>
              <w:t>0,006</w:t>
            </w:r>
            <w:r w:rsidRPr="00435ED2">
              <w:rPr>
                <w:color w:val="000000"/>
                <w:sz w:val="20"/>
                <w:szCs w:val="20"/>
                <w:vertAlign w:val="superscript"/>
                <w:lang w:eastAsia="zh-CN" w:bidi="hi-IN"/>
              </w:rPr>
              <w:t>*</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7D764"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0,196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EFDFA"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0,291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25A2D" w14:textId="77777777" w:rsidR="00435ED2" w:rsidRPr="00435ED2" w:rsidRDefault="00435ED2" w:rsidP="00435ED2">
            <w:pPr>
              <w:jc w:val="center"/>
              <w:rPr>
                <w:color w:val="000000"/>
                <w:sz w:val="20"/>
                <w:szCs w:val="20"/>
                <w:lang w:eastAsia="zh-CN" w:bidi="hi-IN"/>
              </w:rPr>
            </w:pPr>
            <w:r w:rsidRPr="00435ED2">
              <w:rPr>
                <w:color w:val="000000"/>
                <w:sz w:val="20"/>
                <w:szCs w:val="20"/>
                <w:lang w:eastAsia="zh-CN" w:bidi="hi-IN"/>
              </w:rPr>
              <w:t> </w:t>
            </w:r>
          </w:p>
        </w:tc>
        <w:tc>
          <w:tcPr>
            <w:tcW w:w="222" w:type="dxa"/>
            <w:tcBorders>
              <w:left w:val="single" w:sz="4" w:space="0" w:color="auto"/>
            </w:tcBorders>
            <w:vAlign w:val="center"/>
            <w:hideMark/>
          </w:tcPr>
          <w:p w14:paraId="382A61F1" w14:textId="77777777" w:rsidR="00435ED2" w:rsidRPr="00435ED2" w:rsidRDefault="00435ED2" w:rsidP="00435ED2">
            <w:pPr>
              <w:rPr>
                <w:sz w:val="20"/>
                <w:szCs w:val="20"/>
                <w:lang w:eastAsia="zh-CN" w:bidi="hi-IN"/>
              </w:rPr>
            </w:pPr>
          </w:p>
        </w:tc>
      </w:tr>
    </w:tbl>
    <w:p w14:paraId="31435543" w14:textId="77777777" w:rsidR="00545C95" w:rsidRDefault="00545C95" w:rsidP="00435ED2">
      <w:pPr>
        <w:ind w:firstLine="567"/>
        <w:jc w:val="both"/>
        <w:rPr>
          <w:sz w:val="20"/>
          <w:szCs w:val="20"/>
        </w:rPr>
      </w:pPr>
    </w:p>
    <w:p w14:paraId="32149C27" w14:textId="15FD4840" w:rsidR="00435ED2" w:rsidRPr="00435ED2" w:rsidRDefault="00435ED2" w:rsidP="00545C95">
      <w:pPr>
        <w:ind w:firstLine="426"/>
        <w:jc w:val="both"/>
        <w:rPr>
          <w:sz w:val="16"/>
          <w:szCs w:val="16"/>
        </w:rPr>
      </w:pPr>
      <w:r w:rsidRPr="00435ED2">
        <w:rPr>
          <w:sz w:val="20"/>
          <w:szCs w:val="20"/>
        </w:rPr>
        <w:t xml:space="preserve">Berdasarkan hasil uji LSD pada tabel </w:t>
      </w:r>
      <w:r w:rsidR="00545C95">
        <w:rPr>
          <w:sz w:val="20"/>
          <w:szCs w:val="20"/>
        </w:rPr>
        <w:t>3,</w:t>
      </w:r>
      <w:r w:rsidRPr="00435ED2">
        <w:rPr>
          <w:sz w:val="20"/>
          <w:szCs w:val="20"/>
        </w:rPr>
        <w:t xml:space="preserve"> diperoleh nilai yang memiliki perbedaan signifikan yaitu nilai viabilitas sel monosit pada kelompok kontrol terhadap kelompok perlakuan MSG dengan konsentrasi 9%. Hal tersebut ditunjukkan dengan nilai yang diperoleh sebesar 0,006 yang berarti p &lt; 0,05. Sedangakan untuk kelompok perlakuan lain tidak terdapat perbedaan yang signifikan karena nilai p &gt; 0,05</w:t>
      </w:r>
      <w:r>
        <w:rPr>
          <w:sz w:val="20"/>
          <w:szCs w:val="20"/>
        </w:rPr>
        <w:t>.</w:t>
      </w:r>
    </w:p>
    <w:p w14:paraId="16054144" w14:textId="7F2AB6B7" w:rsidR="000F2234" w:rsidRDefault="000F2234" w:rsidP="00435ED2">
      <w:pPr>
        <w:jc w:val="both"/>
        <w:rPr>
          <w:sz w:val="20"/>
          <w:szCs w:val="20"/>
        </w:rPr>
      </w:pPr>
    </w:p>
    <w:p w14:paraId="24B08058" w14:textId="77777777" w:rsidR="00545C95" w:rsidRDefault="00545C95" w:rsidP="00435ED2">
      <w:pPr>
        <w:jc w:val="both"/>
        <w:rPr>
          <w:sz w:val="20"/>
          <w:szCs w:val="20"/>
        </w:rPr>
      </w:pPr>
    </w:p>
    <w:p w14:paraId="3F114634" w14:textId="77777777" w:rsidR="00A94A80" w:rsidRPr="00D01204" w:rsidRDefault="00A94A80" w:rsidP="00A94A80">
      <w:pPr>
        <w:pStyle w:val="ListParagraph"/>
        <w:ind w:left="0"/>
        <w:jc w:val="both"/>
        <w:rPr>
          <w:sz w:val="20"/>
          <w:szCs w:val="20"/>
        </w:rPr>
      </w:pPr>
      <w:r w:rsidRPr="00D01204">
        <w:rPr>
          <w:b/>
          <w:sz w:val="20"/>
          <w:szCs w:val="20"/>
        </w:rPr>
        <w:t>PEMBAHASAN</w:t>
      </w:r>
    </w:p>
    <w:p w14:paraId="31610100" w14:textId="7F413928" w:rsidR="002C3C2E" w:rsidRPr="002C3C2E" w:rsidRDefault="002C3C2E" w:rsidP="00545C95">
      <w:pPr>
        <w:ind w:firstLine="426"/>
        <w:jc w:val="both"/>
        <w:rPr>
          <w:rFonts w:ascii="TimesNewRomanPSMT" w:hAnsi="TimesNewRomanPSMT"/>
          <w:color w:val="000000"/>
          <w:sz w:val="20"/>
          <w:szCs w:val="20"/>
        </w:rPr>
      </w:pPr>
      <w:r w:rsidRPr="002C3C2E">
        <w:rPr>
          <w:rFonts w:ascii="TimesNewRomanPSMT" w:hAnsi="TimesNewRomanPSMT"/>
          <w:color w:val="000000"/>
          <w:sz w:val="20"/>
          <w:szCs w:val="20"/>
        </w:rPr>
        <w:t xml:space="preserve">Data hasil penelitian memperlihatkan bahwasanya seluruh sel mengalami penurunan viabilitas termasuk pada kelompok I yang merupakan kelompok kontrol. Penurunan viabilitas pada kelompok kontrol bisa disebabkan oleh beberapa faktor diantaranya jenis kelamin dan usia. Oleh karena itu, setiap individu memiliki jumlah sel monosit yang berbeda – beda. Hal tersebut seiring dengan penelitian </w:t>
      </w:r>
      <w:r w:rsidRPr="002C3C2E">
        <w:rPr>
          <w:rFonts w:ascii="TimesNewRomanPSMT" w:hAnsi="TimesNewRomanPSMT"/>
          <w:color w:val="000000"/>
          <w:sz w:val="20"/>
          <w:szCs w:val="20"/>
        </w:rPr>
        <w:fldChar w:fldCharType="begin" w:fldLock="1"/>
      </w:r>
      <w:r w:rsidRPr="002C3C2E">
        <w:rPr>
          <w:rFonts w:ascii="TimesNewRomanPSMT" w:hAnsi="TimesNewRomanPSMT"/>
          <w:color w:val="000000"/>
          <w:sz w:val="20"/>
          <w:szCs w:val="20"/>
        </w:rPr>
        <w:instrText>ADDIN CSL_CITATION {"citationItems":[{"id":"ITEM-1","itemData":{"author":[{"dropping-particle":"","family":"Astuti","given":"E.N","non-dropping-particle":"","parse-names":false,"suffix":""}],"id":"ITEM-1","issued":{"date-parts":[["2017"]]},"title":"Kadar Benzena Di Lingkungan Kerja Dan Jumlah Leukosit Pada Mekanik Bengkel Ahass","type":"article-journal"},"uris":["http://www.mendeley.com/documents/?uuid=6d099552-831a-4038-a746-f47ec6f8ac5a"]}],"mendeley":{"formattedCitation":"(Astuti, 2017)","manualFormatting":"Astuti (2017)","plainTextFormattedCitation":"(Astuti, 2017)"},"properties":{"noteIndex":0},"schema":"https://github.com/citation-style-language/schema/raw/master/csl-citation.json"}</w:instrText>
      </w:r>
      <w:r w:rsidRPr="002C3C2E">
        <w:rPr>
          <w:rFonts w:ascii="TimesNewRomanPSMT" w:hAnsi="TimesNewRomanPSMT"/>
          <w:color w:val="000000"/>
          <w:sz w:val="20"/>
          <w:szCs w:val="20"/>
        </w:rPr>
        <w:fldChar w:fldCharType="separate"/>
      </w:r>
      <w:r w:rsidRPr="002C3C2E">
        <w:rPr>
          <w:rFonts w:ascii="TimesNewRomanPSMT" w:hAnsi="TimesNewRomanPSMT"/>
          <w:noProof/>
          <w:color w:val="000000"/>
          <w:sz w:val="20"/>
          <w:szCs w:val="20"/>
        </w:rPr>
        <w:t>Astuti (2017)</w:t>
      </w:r>
      <w:r w:rsidRPr="002C3C2E">
        <w:rPr>
          <w:rFonts w:ascii="TimesNewRomanPSMT" w:hAnsi="TimesNewRomanPSMT"/>
          <w:color w:val="000000"/>
          <w:sz w:val="20"/>
          <w:szCs w:val="20"/>
        </w:rPr>
        <w:fldChar w:fldCharType="end"/>
      </w:r>
      <w:r w:rsidRPr="002C3C2E">
        <w:rPr>
          <w:rFonts w:ascii="TimesNewRomanPSMT" w:hAnsi="TimesNewRomanPSMT"/>
          <w:color w:val="000000"/>
          <w:sz w:val="20"/>
          <w:szCs w:val="20"/>
        </w:rPr>
        <w:t xml:space="preserve"> yang membuktikan bahwasanya seiring bertambahnya usia, banyak terjadi penurunan jumlah sel leukosit pada tubuh</w:t>
      </w:r>
      <w:r w:rsidR="00BA0D7D">
        <w:rPr>
          <w:rFonts w:ascii="TimesNewRomanPSMT" w:hAnsi="TimesNewRomanPSMT"/>
          <w:color w:val="000000"/>
          <w:sz w:val="20"/>
          <w:szCs w:val="20"/>
          <w:vertAlign w:val="superscript"/>
        </w:rPr>
        <w:t>(9)</w:t>
      </w:r>
      <w:r w:rsidRPr="002C3C2E">
        <w:rPr>
          <w:rFonts w:ascii="TimesNewRomanPSMT" w:hAnsi="TimesNewRomanPSMT"/>
          <w:color w:val="000000"/>
          <w:sz w:val="20"/>
          <w:szCs w:val="20"/>
        </w:rPr>
        <w:t xml:space="preserve">. </w:t>
      </w:r>
      <w:r w:rsidRPr="002C3C2E">
        <w:rPr>
          <w:rFonts w:ascii="TimesNewRomanPSMT" w:hAnsi="TimesNewRomanPSMT"/>
          <w:color w:val="000000"/>
          <w:sz w:val="20"/>
          <w:szCs w:val="20"/>
        </w:rPr>
        <w:fldChar w:fldCharType="begin" w:fldLock="1"/>
      </w:r>
      <w:r w:rsidRPr="002C3C2E">
        <w:rPr>
          <w:rFonts w:ascii="TimesNewRomanPSMT" w:hAnsi="TimesNewRomanPSMT"/>
          <w:color w:val="000000"/>
          <w:sz w:val="20"/>
          <w:szCs w:val="20"/>
        </w:rPr>
        <w:instrText>ADDIN CSL_CITATION {"citationItems":[{"id":"ITEM-1","itemData":{"DOI":"10.36722/sst.v4i4.312","ISSN":"2087-9725","abstract":"&lt;p&gt;&lt;em&gt;Abstrak&lt;/em&gt; - &lt;strong&gt;Profil Peripheral Blood Mononuclear Cells (PBMC) setiap orang dapat berbeda-beda. Salah satu faktor yang diduga mempengaruhi adanya perbedaan tersebut adalah usia. Manusia berusia lanjut lebih mudah terserang penyakit karena terjadinya penurunan fungsi dan jumlah sel imun. Oleh karena itu, perlu dilakukan analisis komposisi PBMC untuk mengetahui profil PBMC seseorang berdasarkan usia, sehingga dapat diketahui jumlah sel imun dalam tubuh manusia. Tujuan dari penelitian ini adalah untuk menganalisis profil PBMC pasien dengan berbagai usia di Klinik Hayandra menggunakan flow cytometry. Manfaat dilakukannya kegiatan penelitian ini adalah diperolehnya informasi mengenai profil PBMC pasien di Klinik Hayandra dan kaitannya dengan usia. Metode yang dilakukan diantaranya adalah isolasi PBMC, proses pewarnaan PBMC, dan penentuan populasi sel menggunakan flow cytometry. Cluster of Differentiation (CD) yang digunakan pada kegiatan penelitian ini diantaranya adalah CD3, CD19, CD8, CD56, dan CD314 atau disebut juga NKG2D (Natural Killer Group 2 member D). Hasil yang diperoleh pada kegiatan penelitian ini adalah ditemukannya korelasi negatif yang bermakna antara persentase jumlah sel limfosit T sitotoksik (CD3+/CD8+) dengan usia dan ditemukannya korelasi positif yang bermakna antara persentase jumlah sel NKT (CD3+/CD56+) dengan usia. Dengan demikian usia pasien dapat mempengaruhi jumlah sel imun pasien.&lt;/strong&gt;&lt;/p&gt;&lt;p&gt;&lt;em&gt;Abstract&lt;/em&gt; - &lt;strong&gt;Peripheral Blood Mononuclear Cells (PBMC) profiles of each person can different. One of the factors that allegedly affects the difference is age. Elderly human are more susceptible attacked disease due to decreased function and number of immune cells. Therefore, it is necessary to do analyze PBMC composition to know the PBMC profile of person, so that can be known the number of immune cells in the human body. The purpose of this research is to analyze the PBMC profile of patients with various ages in the Hayandra Clinic using flow cytometry. The benefit of doing this practical work is obtained information about the PBMC profile of patients in the Hayandra Clinic and its relation to age. Methods which are conducted among others are PBMC isolation, PBMC staining process, running flow cytometry, and determination of cell population. Cluster of Differentiation (CD) used in this practical work among others are CD3, CD19, CD8, CD56, and CD314 or also called NKG2D (Natural Killer Group 2 member D). The r…","author":[{"dropping-particle":"","family":"Nadhira","given":"Masayu","non-dropping-particle":"","parse-names":false,"suffix":""},{"dropping-particle":"","family":"Puspitasari","given":"Riris Lindiawati","non-dropping-particle":"","parse-names":false,"suffix":""},{"dropping-particle":"","family":"Moegni","given":"Karina F","non-dropping-particle":"","parse-names":false,"suffix":""},{"dropping-particle":"","family":"Rosadi","given":"Imam","non-dropping-particle":"","parse-names":false,"suffix":""},{"dropping-particle":"","family":"Rosliana","given":"Iis","non-dropping-particle":"","parse-names":false,"suffix":""}],"container-title":"JURNAL Al-AZHAR INDONESIA SERI SAINS DAN TEKNOLOGI","id":"ITEM-1","issue":"4","issued":{"date-parts":[["2018"]]},"page":"208","title":"Profil Peripheral Blood Mononuclear Cells (PBMC) Pasien dengan Berbagai Usia Menggunakan Flow Cytometry di Klinik Hayandra","type":"article-journal","volume":"4"},"uris":["http://www.mendeley.com/documents/?uuid=45d359db-84a5-43e7-952b-817d9eae97ad"]}],"mendeley":{"formattedCitation":"(Nadhira et al., 2018)","manualFormatting":"Nadhira et al., (2018)","plainTextFormattedCitation":"(Nadhira et al., 2018)","previouslyFormattedCitation":"(Nadhira et al., 2018)"},"properties":{"noteIndex":0},"schema":"https://github.com/citation-style-language/schema/raw/master/csl-citation.json"}</w:instrText>
      </w:r>
      <w:r w:rsidRPr="002C3C2E">
        <w:rPr>
          <w:rFonts w:ascii="TimesNewRomanPSMT" w:hAnsi="TimesNewRomanPSMT"/>
          <w:color w:val="000000"/>
          <w:sz w:val="20"/>
          <w:szCs w:val="20"/>
        </w:rPr>
        <w:fldChar w:fldCharType="separate"/>
      </w:r>
      <w:r w:rsidRPr="002C3C2E">
        <w:rPr>
          <w:rFonts w:ascii="TimesNewRomanPSMT" w:hAnsi="TimesNewRomanPSMT"/>
          <w:noProof/>
          <w:color w:val="000000"/>
          <w:sz w:val="20"/>
          <w:szCs w:val="20"/>
        </w:rPr>
        <w:t>Nadhira et al., (2018)</w:t>
      </w:r>
      <w:r w:rsidRPr="002C3C2E">
        <w:rPr>
          <w:rFonts w:ascii="TimesNewRomanPSMT" w:hAnsi="TimesNewRomanPSMT"/>
          <w:color w:val="000000"/>
          <w:sz w:val="20"/>
          <w:szCs w:val="20"/>
        </w:rPr>
        <w:fldChar w:fldCharType="end"/>
      </w:r>
      <w:r w:rsidRPr="002C3C2E">
        <w:rPr>
          <w:rFonts w:ascii="TimesNewRomanPSMT" w:hAnsi="TimesNewRomanPSMT"/>
          <w:color w:val="000000"/>
          <w:sz w:val="20"/>
          <w:szCs w:val="20"/>
        </w:rPr>
        <w:t xml:space="preserve"> juga menyatakan bahwa usia dapat memengaruhi jumlah sel imun tubuh</w:t>
      </w:r>
      <w:r w:rsidR="00BA0D7D">
        <w:rPr>
          <w:rFonts w:ascii="TimesNewRomanPSMT" w:hAnsi="TimesNewRomanPSMT"/>
          <w:color w:val="000000"/>
          <w:sz w:val="20"/>
          <w:szCs w:val="20"/>
          <w:vertAlign w:val="superscript"/>
        </w:rPr>
        <w:t>(10)</w:t>
      </w:r>
      <w:r w:rsidR="00BA0D7D" w:rsidRPr="002C3C2E">
        <w:rPr>
          <w:rFonts w:ascii="TimesNewRomanPSMT" w:hAnsi="TimesNewRomanPSMT"/>
          <w:color w:val="000000"/>
          <w:sz w:val="20"/>
          <w:szCs w:val="20"/>
        </w:rPr>
        <w:t>.</w:t>
      </w:r>
      <w:r w:rsidRPr="002C3C2E">
        <w:rPr>
          <w:rFonts w:ascii="TimesNewRomanPSMT" w:hAnsi="TimesNewRomanPSMT"/>
          <w:color w:val="000000"/>
          <w:sz w:val="20"/>
          <w:szCs w:val="20"/>
        </w:rPr>
        <w:t xml:space="preserve">Sedangkan pengaruh jumlah sel terhadap jenis kelamin menurut </w:t>
      </w:r>
      <w:r w:rsidRPr="002C3C2E">
        <w:rPr>
          <w:rFonts w:ascii="TimesNewRomanPSMT" w:hAnsi="TimesNewRomanPSMT"/>
          <w:color w:val="000000"/>
          <w:sz w:val="20"/>
          <w:szCs w:val="20"/>
        </w:rPr>
        <w:fldChar w:fldCharType="begin" w:fldLock="1"/>
      </w:r>
      <w:r w:rsidRPr="002C3C2E">
        <w:rPr>
          <w:rFonts w:ascii="TimesNewRomanPSMT" w:hAnsi="TimesNewRomanPSMT"/>
          <w:color w:val="000000"/>
          <w:sz w:val="20"/>
          <w:szCs w:val="20"/>
        </w:rPr>
        <w:instrText>ADDIN CSL_CITATION {"citationItems":[{"id":"ITEM-1","itemData":{"DOI":"10.20473/jkl.v12i2.2020.97-106","ISSN":"1829-7285","abstract":"Introduction: Health development in Indonesia is influenced by the increasing needs and demands of the community to obtain quality health services. Progress in health service facilities as a form of the use of radiation beams. The utilization of radiation substances in the field of health care is a source of danger for radiation workers in the radiology department. X-ray radiation has an impact on human health, especially the health of radiographers. The purpose of this study was to analyze the increase in leukocytes due to X-ray radiation exposure in workers exposed (radiographers) with unexposed workers (admissions officers) at the Jemursari Islamic Hospital in Surabaya. Methods: This study used an analytic observational study, using a cross sectional research design, and the analysis used was the independent t-test and mann whitney. Research subjects numbered 18 respondents taken from the population in accordance with specified criteria. Result and Discussion: The results showed there was no difference between exposed workers (radiographers) and unexposed workers (admissions officers) on increased leukocytes due to X-ray radiation exposure. Lymphocyte variables were not significantly different (independent t-test p = 0.137), monocyte variable no significant difference (independent t-test p = 0.525), neutrophil variable no significant difference (independent t-test p = 0.137), eosinophil variable no significant difference (mann whitney p = 0.27), there is no significant difference in the basophile variable (independent t-test p = 0.738). Conclusion:X-ray radiation exposure does not affect the increase in leukocytes in the blood in radiology workers. ","author":[{"dropping-particle":"","family":"Giyartika","given":"Farida","non-dropping-particle":"","parse-names":false,"suffix":""},{"dropping-particle":"","family":"Keman","given":"Soedjajadi","non-dropping-particle":"","parse-names":false,"suffix":""}],"container-title":"Jurnal Kesehatan Lingkungan","id":"ITEM-1","issue":"2","issued":{"date-parts":[["2020"]]},"page":"97","title":"The Differences of Improving Leukosit in Radiographers at Islamic Hospital Jemursari Surabaya","type":"article-journal","volume":"12"},"uris":["http://www.mendeley.com/documents/?uuid=140e0b7a-5bd6-4c56-a299-eb78dd7a00d4"]}],"mendeley":{"formattedCitation":"(Giyartika &amp; Keman, 2020)","manualFormatting":"Giyartika &amp; Keman (2020)","plainTextFormattedCitation":"(Giyartika &amp; Keman, 2020)","previouslyFormattedCitation":"(Giyartika &amp; Keman, 2020)"},"properties":{"noteIndex":0},"schema":"https://github.com/citation-style-language/schema/raw/master/csl-citation.json"}</w:instrText>
      </w:r>
      <w:r w:rsidRPr="002C3C2E">
        <w:rPr>
          <w:rFonts w:ascii="TimesNewRomanPSMT" w:hAnsi="TimesNewRomanPSMT"/>
          <w:color w:val="000000"/>
          <w:sz w:val="20"/>
          <w:szCs w:val="20"/>
        </w:rPr>
        <w:fldChar w:fldCharType="separate"/>
      </w:r>
      <w:r w:rsidRPr="002C3C2E">
        <w:rPr>
          <w:rFonts w:ascii="TimesNewRomanPSMT" w:hAnsi="TimesNewRomanPSMT"/>
          <w:noProof/>
          <w:color w:val="000000"/>
          <w:sz w:val="20"/>
          <w:szCs w:val="20"/>
        </w:rPr>
        <w:t>Giyartika &amp; Keman (2020)</w:t>
      </w:r>
      <w:r w:rsidRPr="002C3C2E">
        <w:rPr>
          <w:rFonts w:ascii="TimesNewRomanPSMT" w:hAnsi="TimesNewRomanPSMT"/>
          <w:color w:val="000000"/>
          <w:sz w:val="20"/>
          <w:szCs w:val="20"/>
        </w:rPr>
        <w:fldChar w:fldCharType="end"/>
      </w:r>
      <w:r w:rsidRPr="002C3C2E">
        <w:rPr>
          <w:rFonts w:ascii="TimesNewRomanPSMT" w:hAnsi="TimesNewRomanPSMT"/>
          <w:color w:val="000000"/>
          <w:sz w:val="20"/>
          <w:szCs w:val="20"/>
        </w:rPr>
        <w:t xml:space="preserve"> yaitu perbandingan jumlah sel leukosit perempuan dengan laki – laki adalah 1:3</w:t>
      </w:r>
      <w:r w:rsidR="00BA0D7D">
        <w:rPr>
          <w:rFonts w:ascii="TimesNewRomanPSMT" w:hAnsi="TimesNewRomanPSMT"/>
          <w:color w:val="000000"/>
          <w:sz w:val="20"/>
          <w:szCs w:val="20"/>
          <w:vertAlign w:val="superscript"/>
        </w:rPr>
        <w:t>(11)</w:t>
      </w:r>
      <w:r w:rsidRPr="002C3C2E">
        <w:rPr>
          <w:rFonts w:ascii="TimesNewRomanPSMT" w:hAnsi="TimesNewRomanPSMT"/>
          <w:color w:val="000000"/>
          <w:sz w:val="20"/>
          <w:szCs w:val="20"/>
        </w:rPr>
        <w:t>.</w:t>
      </w:r>
    </w:p>
    <w:p w14:paraId="78C6B558" w14:textId="0829C68E" w:rsidR="002C3C2E" w:rsidRPr="002C3C2E" w:rsidRDefault="002C3C2E" w:rsidP="00545C95">
      <w:pPr>
        <w:pStyle w:val="ListParagraph"/>
        <w:tabs>
          <w:tab w:val="left" w:pos="567"/>
        </w:tabs>
        <w:spacing w:line="240" w:lineRule="auto"/>
        <w:ind w:left="0" w:firstLine="426"/>
        <w:jc w:val="both"/>
        <w:rPr>
          <w:color w:val="000000"/>
          <w:sz w:val="20"/>
          <w:szCs w:val="20"/>
        </w:rPr>
      </w:pPr>
      <w:r w:rsidRPr="002C3C2E">
        <w:rPr>
          <w:rFonts w:ascii="TimesNewRomanPSMT" w:hAnsi="TimesNewRomanPSMT"/>
          <w:color w:val="000000"/>
          <w:sz w:val="20"/>
          <w:szCs w:val="20"/>
        </w:rPr>
        <w:t xml:space="preserve">Penurunan viabilitas sel monosit </w:t>
      </w:r>
      <w:r>
        <w:rPr>
          <w:rFonts w:ascii="TimesNewRomanPSMT" w:hAnsi="TimesNewRomanPSMT"/>
          <w:color w:val="000000"/>
          <w:sz w:val="20"/>
          <w:szCs w:val="20"/>
        </w:rPr>
        <w:t xml:space="preserve">pada kelompok perlakuan </w:t>
      </w:r>
      <w:r w:rsidRPr="002C3C2E">
        <w:rPr>
          <w:rFonts w:ascii="TimesNewRomanPSMT" w:hAnsi="TimesNewRomanPSMT"/>
          <w:color w:val="000000"/>
          <w:sz w:val="20"/>
          <w:szCs w:val="20"/>
        </w:rPr>
        <w:t xml:space="preserve">disebabkan oleh peningkatan konsentrasi MSG. Paparan MSG dalam waktu 24 jam pada kelompok perlakuan mengakibatkan masuknya cairan intrasel kedalam sitosol secara masif sehingga permeabilitas sel terganganggu fungsinya. </w:t>
      </w:r>
      <w:r w:rsidRPr="002C3C2E">
        <w:rPr>
          <w:rStyle w:val="fontstyle01"/>
          <w:sz w:val="20"/>
          <w:szCs w:val="20"/>
        </w:rPr>
        <w:t>Kandungan</w:t>
      </w:r>
      <w:r w:rsidRPr="002C3C2E">
        <w:rPr>
          <w:color w:val="000000"/>
          <w:sz w:val="20"/>
          <w:szCs w:val="20"/>
        </w:rPr>
        <w:t xml:space="preserve"> glutamat bebas yang dihasilkan MSG </w:t>
      </w:r>
      <w:r w:rsidRPr="002C3C2E">
        <w:rPr>
          <w:sz w:val="20"/>
          <w:szCs w:val="20"/>
        </w:rPr>
        <w:t xml:space="preserve">dapat mengaktivasi reseptor glutamat </w:t>
      </w:r>
      <w:r w:rsidRPr="002C3C2E">
        <w:rPr>
          <w:i/>
          <w:iCs/>
          <w:sz w:val="20"/>
          <w:szCs w:val="20"/>
        </w:rPr>
        <w:t xml:space="preserve">N-methyl-D-aspartate </w:t>
      </w:r>
      <w:r w:rsidRPr="002C3C2E">
        <w:rPr>
          <w:sz w:val="20"/>
          <w:szCs w:val="20"/>
        </w:rPr>
        <w:t>(NMDA), sehingga menyebabkan influx Ca</w:t>
      </w:r>
      <w:r w:rsidRPr="002C3C2E">
        <w:rPr>
          <w:sz w:val="20"/>
          <w:szCs w:val="20"/>
          <w:vertAlign w:val="superscript"/>
        </w:rPr>
        <w:t xml:space="preserve">2+ </w:t>
      </w:r>
      <w:r w:rsidRPr="002C3C2E">
        <w:rPr>
          <w:sz w:val="20"/>
          <w:szCs w:val="20"/>
        </w:rPr>
        <w:t xml:space="preserve">berlebih di sitosol yang dapat melakukan aktivasi pada NO sintase dan protein kinase C untuk membentuk radikal bebas yang memicu adanya stress oksidatif </w:t>
      </w:r>
      <w:r w:rsidR="008E3014">
        <w:rPr>
          <w:rFonts w:ascii="TimesNewRomanPSMT" w:hAnsi="TimesNewRomanPSMT"/>
          <w:color w:val="000000"/>
          <w:sz w:val="20"/>
          <w:szCs w:val="20"/>
          <w:vertAlign w:val="superscript"/>
        </w:rPr>
        <w:t>(12)</w:t>
      </w:r>
      <w:r w:rsidRPr="002C3C2E">
        <w:rPr>
          <w:sz w:val="20"/>
          <w:szCs w:val="20"/>
        </w:rPr>
        <w:t xml:space="preserve">. Menurut penelitian </w:t>
      </w:r>
      <w:r w:rsidRPr="002C3C2E">
        <w:rPr>
          <w:sz w:val="20"/>
          <w:szCs w:val="20"/>
        </w:rPr>
        <w:fldChar w:fldCharType="begin" w:fldLock="1"/>
      </w:r>
      <w:r w:rsidRPr="002C3C2E">
        <w:rPr>
          <w:sz w:val="20"/>
          <w:szCs w:val="20"/>
        </w:rPr>
        <w:instrText>ADDIN CSL_CITATION {"citationItems":[{"id":"ITEM-1","itemData":{"author":[{"dropping-particle":"","family":"Agverianti","given":"Theodora","non-dropping-particle":"","parse-names":false,"suffix":""},{"dropping-particle":"","family":"Muhartono","given":"","non-dropping-particle":"","parse-names":false,"suffix":""},{"dropping-particle":"","family":"Nisa","given":"Khairun","non-dropping-particle":"","parse-names":false,"suffix":""},{"dropping-particle":"","family":"Berawi","given":"","non-dropping-particle":"","parse-names":false,"suffix":""}],"container-title":"JIMKI","id":"ITEM-1","issue":"ISSN 2302-6391","issued":{"date-parts":[["2019"]]},"page":"7-13","title":"PENGARUH PEMBERIAN EKSTRAK ETANOL RIMPANG LENGKUAS (ALPINIA GALANGA) TERHADAP GAMBARAN HISTOPATOLOGI HEPAR MENCIT (MUS MUSCULUS L.) YANG DIINDUKSI MONOSODIUM GLUTAMATE","type":"article-journal","volume":"7 Nomor 2"},"uris":["http://www.mendeley.com/documents/?uuid=743cdc02-a62b-4ae3-a232-2eba7f1a1f83"]}],"mendeley":{"formattedCitation":"(Agverianti et al., 2019)","manualFormatting":"Agverianti et al., (2019)","plainTextFormattedCitation":"(Agverianti et al., 2019)","previouslyFormattedCitation":"(Agverianti et al., 2019)"},"properties":{"noteIndex":0},"schema":"https://github.com/citation-style-language/schema/raw/master/csl-citation.json"}</w:instrText>
      </w:r>
      <w:r w:rsidRPr="002C3C2E">
        <w:rPr>
          <w:sz w:val="20"/>
          <w:szCs w:val="20"/>
        </w:rPr>
        <w:fldChar w:fldCharType="separate"/>
      </w:r>
      <w:r w:rsidRPr="002C3C2E">
        <w:rPr>
          <w:noProof/>
          <w:sz w:val="20"/>
          <w:szCs w:val="20"/>
        </w:rPr>
        <w:t>Agverianti et al., (2019)</w:t>
      </w:r>
      <w:r w:rsidRPr="002C3C2E">
        <w:rPr>
          <w:sz w:val="20"/>
          <w:szCs w:val="20"/>
        </w:rPr>
        <w:fldChar w:fldCharType="end"/>
      </w:r>
      <w:r w:rsidRPr="002C3C2E">
        <w:rPr>
          <w:sz w:val="20"/>
          <w:szCs w:val="20"/>
        </w:rPr>
        <w:t xml:space="preserve"> </w:t>
      </w:r>
      <w:r w:rsidRPr="002C3C2E">
        <w:rPr>
          <w:rStyle w:val="fontstyle01"/>
          <w:sz w:val="20"/>
          <w:szCs w:val="20"/>
        </w:rPr>
        <w:t>terjadinya stress oksidatif mengakibatkan peroksidasi lipid</w:t>
      </w:r>
      <w:r w:rsidRPr="002C3C2E">
        <w:rPr>
          <w:color w:val="000000"/>
          <w:sz w:val="20"/>
          <w:szCs w:val="20"/>
        </w:rPr>
        <w:t xml:space="preserve"> yang berdampak pada </w:t>
      </w:r>
      <w:r w:rsidRPr="002C3C2E">
        <w:rPr>
          <w:rStyle w:val="fontstyle01"/>
          <w:sz w:val="20"/>
          <w:szCs w:val="20"/>
        </w:rPr>
        <w:t>kerusakan membran sel</w:t>
      </w:r>
      <w:r w:rsidRPr="002C3C2E">
        <w:rPr>
          <w:color w:val="000000"/>
          <w:sz w:val="20"/>
          <w:szCs w:val="20"/>
        </w:rPr>
        <w:t xml:space="preserve"> </w:t>
      </w:r>
      <w:r w:rsidRPr="002C3C2E">
        <w:rPr>
          <w:rStyle w:val="fontstyle01"/>
          <w:sz w:val="20"/>
          <w:szCs w:val="20"/>
        </w:rPr>
        <w:t>yang dapat mempengaruhi struktur maupun fungsi sel</w:t>
      </w:r>
      <w:r w:rsidR="008E3014">
        <w:rPr>
          <w:rFonts w:ascii="TimesNewRomanPSMT" w:hAnsi="TimesNewRomanPSMT"/>
          <w:color w:val="000000"/>
          <w:sz w:val="20"/>
          <w:szCs w:val="20"/>
          <w:vertAlign w:val="superscript"/>
        </w:rPr>
        <w:t>(13)</w:t>
      </w:r>
      <w:r w:rsidRPr="002C3C2E">
        <w:rPr>
          <w:rStyle w:val="fontstyle01"/>
          <w:sz w:val="20"/>
          <w:szCs w:val="20"/>
        </w:rPr>
        <w:t xml:space="preserve">. </w:t>
      </w:r>
      <w:r w:rsidRPr="002C3C2E">
        <w:rPr>
          <w:sz w:val="20"/>
          <w:szCs w:val="20"/>
        </w:rPr>
        <w:t>Peningkatan influx Ca</w:t>
      </w:r>
      <w:r w:rsidRPr="002C3C2E">
        <w:rPr>
          <w:sz w:val="20"/>
          <w:szCs w:val="20"/>
          <w:vertAlign w:val="superscript"/>
        </w:rPr>
        <w:t xml:space="preserve">2+ </w:t>
      </w:r>
      <w:r w:rsidRPr="002C3C2E">
        <w:rPr>
          <w:sz w:val="20"/>
          <w:szCs w:val="20"/>
        </w:rPr>
        <w:t xml:space="preserve">di sitosol menyebabkan terjadinya disfungsi mitokondria yang menyebabkan terjadinya deplesi ATP. Kondisi tersebut mengakibatkan terganggunya </w:t>
      </w:r>
      <w:r w:rsidRPr="002C3C2E">
        <w:rPr>
          <w:sz w:val="20"/>
          <w:szCs w:val="20"/>
        </w:rPr>
        <w:lastRenderedPageBreak/>
        <w:t>pompa ion Na</w:t>
      </w:r>
      <w:r w:rsidRPr="002C3C2E">
        <w:rPr>
          <w:sz w:val="20"/>
          <w:szCs w:val="20"/>
          <w:vertAlign w:val="superscript"/>
        </w:rPr>
        <w:t>+</w:t>
      </w:r>
      <w:r w:rsidRPr="002C3C2E">
        <w:rPr>
          <w:sz w:val="20"/>
          <w:szCs w:val="20"/>
        </w:rPr>
        <w:t>-K</w:t>
      </w:r>
      <w:r w:rsidRPr="002C3C2E">
        <w:rPr>
          <w:sz w:val="20"/>
          <w:szCs w:val="20"/>
          <w:vertAlign w:val="superscript"/>
        </w:rPr>
        <w:t>+</w:t>
      </w:r>
      <w:r w:rsidRPr="002C3C2E">
        <w:rPr>
          <w:sz w:val="20"/>
          <w:szCs w:val="20"/>
        </w:rPr>
        <w:t xml:space="preserve"> sehingga gradien ion tidak bisa dipertahankan. Akibatnya ion Na</w:t>
      </w:r>
      <w:r w:rsidRPr="002C3C2E">
        <w:rPr>
          <w:sz w:val="20"/>
          <w:szCs w:val="20"/>
          <w:vertAlign w:val="superscript"/>
        </w:rPr>
        <w:t>+</w:t>
      </w:r>
      <w:r w:rsidRPr="002C3C2E">
        <w:rPr>
          <w:sz w:val="20"/>
          <w:szCs w:val="20"/>
        </w:rPr>
        <w:t xml:space="preserve"> tidak bisa dikeluarkan ke ekstra sel yang berdampak terjadinya penimbunan air di sitoplasma sehingga terjadi cedera sel</w:t>
      </w:r>
      <w:r w:rsidR="008E3014">
        <w:rPr>
          <w:rFonts w:ascii="TimesNewRomanPSMT" w:hAnsi="TimesNewRomanPSMT"/>
          <w:color w:val="000000"/>
          <w:sz w:val="20"/>
          <w:szCs w:val="20"/>
          <w:vertAlign w:val="superscript"/>
        </w:rPr>
        <w:t>(14)</w:t>
      </w:r>
      <w:r w:rsidRPr="002C3C2E">
        <w:rPr>
          <w:sz w:val="20"/>
          <w:szCs w:val="20"/>
        </w:rPr>
        <w:t xml:space="preserve">. </w:t>
      </w:r>
    </w:p>
    <w:p w14:paraId="5BF52E4C" w14:textId="45B2EA1C" w:rsidR="002C3C2E" w:rsidRDefault="002C3C2E" w:rsidP="00545C95">
      <w:pPr>
        <w:pStyle w:val="ListParagraph"/>
        <w:spacing w:line="240" w:lineRule="auto"/>
        <w:ind w:left="0" w:firstLine="426"/>
        <w:jc w:val="both"/>
        <w:rPr>
          <w:rFonts w:ascii="TimesNewRomanPSMT" w:hAnsi="TimesNewRomanPSMT"/>
          <w:color w:val="000000"/>
          <w:sz w:val="20"/>
          <w:szCs w:val="20"/>
        </w:rPr>
      </w:pPr>
      <w:r w:rsidRPr="002C3C2E">
        <w:rPr>
          <w:sz w:val="20"/>
          <w:szCs w:val="20"/>
        </w:rPr>
        <w:t xml:space="preserve">Pada saat terjadi cedera, sel akan membuat pertanda molekular yaitu </w:t>
      </w:r>
      <w:r w:rsidRPr="002C3C2E">
        <w:rPr>
          <w:rStyle w:val="fontstyle21"/>
          <w:sz w:val="20"/>
          <w:szCs w:val="20"/>
        </w:rPr>
        <w:t>Damage-assosiated molecular</w:t>
      </w:r>
      <w:r w:rsidRPr="002C3C2E">
        <w:rPr>
          <w:rFonts w:ascii="TimesNewRomanPS-ItalicMT" w:hAnsi="TimesNewRomanPS-ItalicMT"/>
          <w:i/>
          <w:iCs/>
          <w:color w:val="000000"/>
          <w:sz w:val="18"/>
          <w:szCs w:val="18"/>
        </w:rPr>
        <w:t xml:space="preserve"> </w:t>
      </w:r>
      <w:r w:rsidRPr="002C3C2E">
        <w:rPr>
          <w:rStyle w:val="fontstyle21"/>
          <w:sz w:val="20"/>
          <w:szCs w:val="20"/>
        </w:rPr>
        <w:t xml:space="preserve">pattern </w:t>
      </w:r>
      <w:r w:rsidRPr="002C3C2E">
        <w:rPr>
          <w:rStyle w:val="fontstyle01"/>
          <w:sz w:val="20"/>
          <w:szCs w:val="20"/>
        </w:rPr>
        <w:t>(DAMPs) yang menyebabkan terjadinya inflamasi jalur steril. DAMPs</w:t>
      </w:r>
      <w:r w:rsidRPr="002C3C2E">
        <w:rPr>
          <w:sz w:val="20"/>
          <w:szCs w:val="20"/>
        </w:rPr>
        <w:t xml:space="preserve"> akan dikenali oleh imunitas alami salah satunya Monosit. Monosit memiliki reseptor </w:t>
      </w:r>
      <w:r w:rsidRPr="002C3C2E">
        <w:rPr>
          <w:rStyle w:val="fontstyle21"/>
          <w:sz w:val="20"/>
          <w:szCs w:val="20"/>
        </w:rPr>
        <w:t xml:space="preserve">pattern recognition receptors (PRRs) yang berguna untuk mengenali adanya kerusakan yang dihasilkan oleh sel yang mengalami kerusakan </w:t>
      </w:r>
      <w:r w:rsidRPr="002C3C2E">
        <w:rPr>
          <w:rStyle w:val="fontstyle01"/>
          <w:sz w:val="20"/>
          <w:szCs w:val="20"/>
        </w:rPr>
        <w:t>(DAMPs)</w:t>
      </w:r>
      <w:r w:rsidR="0012773A" w:rsidRPr="0012773A">
        <w:rPr>
          <w:rFonts w:ascii="TimesNewRomanPSMT" w:hAnsi="TimesNewRomanPSMT"/>
          <w:color w:val="000000"/>
          <w:sz w:val="20"/>
          <w:szCs w:val="20"/>
          <w:vertAlign w:val="superscript"/>
        </w:rPr>
        <w:t xml:space="preserve"> </w:t>
      </w:r>
      <w:r w:rsidR="0012773A">
        <w:rPr>
          <w:rFonts w:ascii="TimesNewRomanPSMT" w:hAnsi="TimesNewRomanPSMT"/>
          <w:color w:val="000000"/>
          <w:sz w:val="20"/>
          <w:szCs w:val="20"/>
          <w:vertAlign w:val="superscript"/>
        </w:rPr>
        <w:t>(15)</w:t>
      </w:r>
      <w:r w:rsidR="0012773A" w:rsidRPr="002C3C2E">
        <w:rPr>
          <w:rFonts w:ascii="TimesNewRomanPSMT" w:hAnsi="TimesNewRomanPSMT"/>
          <w:color w:val="000000"/>
          <w:sz w:val="20"/>
          <w:szCs w:val="20"/>
        </w:rPr>
        <w:t>.</w:t>
      </w:r>
      <w:r w:rsidRPr="002C3C2E">
        <w:rPr>
          <w:sz w:val="20"/>
          <w:szCs w:val="20"/>
          <w:shd w:val="clear" w:color="auto" w:fill="FFFFFF"/>
        </w:rPr>
        <w:t xml:space="preserve"> </w:t>
      </w:r>
      <w:r w:rsidRPr="002C3C2E">
        <w:rPr>
          <w:rStyle w:val="fontstyle01"/>
          <w:rFonts w:hint="eastAsia"/>
          <w:sz w:val="20"/>
          <w:szCs w:val="20"/>
        </w:rPr>
        <w:t>A</w:t>
      </w:r>
      <w:r w:rsidRPr="002C3C2E">
        <w:rPr>
          <w:rStyle w:val="fontstyle01"/>
          <w:sz w:val="20"/>
          <w:szCs w:val="20"/>
        </w:rPr>
        <w:t xml:space="preserve">danya interikasi DAMPs dengan PRRs akan mengaktivasi monosit yang menyebabkan pelepasan sitokin pro-inflamasi utama yaitu </w:t>
      </w:r>
      <w:r w:rsidRPr="002C3C2E">
        <w:rPr>
          <w:rFonts w:ascii="TimesNewRomanPSMT" w:hAnsi="TimesNewRomanPSMT"/>
          <w:color w:val="000000"/>
          <w:sz w:val="20"/>
          <w:szCs w:val="20"/>
        </w:rPr>
        <w:t>TNF-α serta IL-1β.</w:t>
      </w:r>
    </w:p>
    <w:p w14:paraId="0B8501D6" w14:textId="7F1CABD3" w:rsidR="002C3C2E" w:rsidRDefault="002C3C2E" w:rsidP="00545C95">
      <w:pPr>
        <w:pStyle w:val="ListParagraph"/>
        <w:spacing w:line="240" w:lineRule="auto"/>
        <w:ind w:left="0" w:firstLine="426"/>
        <w:jc w:val="both"/>
        <w:rPr>
          <w:rFonts w:ascii="TimesNewRomanPSMT" w:hAnsi="TimesNewRomanPSMT"/>
          <w:color w:val="000000"/>
          <w:sz w:val="20"/>
          <w:szCs w:val="20"/>
        </w:rPr>
      </w:pPr>
      <w:r w:rsidRPr="002C3C2E">
        <w:rPr>
          <w:rFonts w:ascii="TimesNewRomanPSMT" w:hAnsi="TimesNewRomanPSMT" w:hint="eastAsia"/>
          <w:color w:val="000000"/>
          <w:sz w:val="20"/>
          <w:szCs w:val="20"/>
        </w:rPr>
        <w:t>M</w:t>
      </w:r>
      <w:r w:rsidRPr="002C3C2E">
        <w:rPr>
          <w:rFonts w:ascii="TimesNewRomanPSMT" w:hAnsi="TimesNewRomanPSMT"/>
          <w:color w:val="000000"/>
          <w:sz w:val="20"/>
          <w:szCs w:val="20"/>
        </w:rPr>
        <w:t xml:space="preserve">onosit yang teraktivasi akan melakukan perbaikan pada sel yang mengalami cedera salah satunya dengan fagositosis. Fagositosis monosit merupakan proses ingesti partikel kedalam vesikel fagosom. </w:t>
      </w:r>
      <w:r w:rsidRPr="002C3C2E">
        <w:rPr>
          <w:rFonts w:ascii="TimesNewRomanPSMT" w:hAnsi="TimesNewRomanPSMT" w:hint="eastAsia"/>
          <w:color w:val="000000"/>
          <w:sz w:val="20"/>
          <w:szCs w:val="20"/>
        </w:rPr>
        <w:t>P</w:t>
      </w:r>
      <w:r w:rsidRPr="002C3C2E">
        <w:rPr>
          <w:rFonts w:ascii="TimesNewRomanPSMT" w:hAnsi="TimesNewRomanPSMT"/>
          <w:color w:val="000000"/>
          <w:sz w:val="20"/>
          <w:szCs w:val="20"/>
        </w:rPr>
        <w:t>ada proses fagositosis, monosit akan menghasilkan ROS seperti NO (Nitrit Oksida). NO merupakan hasil metabolisme proses fagositosis yang berguna untuk membunuh patogen atau antigen, namun apabila jumlah produksi NO berlebih akan menyebabkan kerusakan membran sel monosit yang dapat menyebabkan penurunan viabilitas sel monosit</w:t>
      </w:r>
      <w:r w:rsidR="0012773A">
        <w:rPr>
          <w:rFonts w:ascii="TimesNewRomanPSMT" w:hAnsi="TimesNewRomanPSMT"/>
          <w:color w:val="000000"/>
          <w:sz w:val="20"/>
          <w:szCs w:val="20"/>
          <w:vertAlign w:val="superscript"/>
        </w:rPr>
        <w:t>(16)</w:t>
      </w:r>
      <w:r w:rsidRPr="002C3C2E">
        <w:rPr>
          <w:rFonts w:ascii="TimesNewRomanPSMT" w:hAnsi="TimesNewRomanPSMT"/>
          <w:color w:val="000000"/>
          <w:sz w:val="20"/>
          <w:szCs w:val="20"/>
        </w:rPr>
        <w:t>.</w:t>
      </w:r>
    </w:p>
    <w:p w14:paraId="01462115" w14:textId="09F8ABCD" w:rsidR="002C3C2E" w:rsidRDefault="002C3C2E" w:rsidP="00545C95">
      <w:pPr>
        <w:pStyle w:val="ListParagraph"/>
        <w:spacing w:line="240" w:lineRule="auto"/>
        <w:ind w:left="0" w:firstLine="426"/>
        <w:jc w:val="both"/>
        <w:rPr>
          <w:rStyle w:val="fontstyle01"/>
          <w:sz w:val="20"/>
          <w:szCs w:val="20"/>
        </w:rPr>
      </w:pPr>
      <w:r w:rsidRPr="002C3C2E">
        <w:rPr>
          <w:rStyle w:val="fontstyle01"/>
          <w:sz w:val="20"/>
          <w:szCs w:val="20"/>
        </w:rPr>
        <w:t xml:space="preserve">Mekanisme penurunan viabilitas sel monosit dipicu akibat pembentukan radikal bebas yang disebabkan akumulasi glutamat bebas. Glutamat bebas yang terakumulasi di sinaps dapat meyebabkan peristiwa eksitoksisitas yang merupakan kematian neuron. Menurut penelitian </w:t>
      </w:r>
      <w:r w:rsidRPr="002C3C2E">
        <w:rPr>
          <w:rStyle w:val="fontstyle01"/>
          <w:sz w:val="20"/>
          <w:szCs w:val="20"/>
        </w:rPr>
        <w:fldChar w:fldCharType="begin" w:fldLock="1"/>
      </w:r>
      <w:r w:rsidRPr="002C3C2E">
        <w:rPr>
          <w:rStyle w:val="fontstyle01"/>
          <w:sz w:val="20"/>
          <w:szCs w:val="20"/>
        </w:rPr>
        <w:instrText>ADDIN CSL_CITATION {"citationItems":[{"id":"ITEM-1","itemData":{"ISBN":"1980032220081","author":[{"dropping-particle":"","family":"Asti","given":"Sariwiwit Intan Permata","non-dropping-particle":"","parse-names":false,"suffix":""}],"id":"ITEM-1","issued":{"date-parts":[["2015"]]},"number-of-pages":"66","publisher":"Universitas Jember","title":"TERHADAP AKTIVITAS FAGOSITOSIS SEL MONOSIT ( Penelitian Eksperimental Laboratoris In-vitro )","type":"thesis"},"uris":["http://www.mendeley.com/documents/?uuid=a61f5b53-00b3-4d02-b0d5-933287c3199e"]}],"mendeley":{"formattedCitation":"(Asti, 2015)","manualFormatting":"Asti (2015)","plainTextFormattedCitation":"(Asti, 2015)","previouslyFormattedCitation":"(Asti, 2015)"},"properties":{"noteIndex":0},"schema":"https://github.com/citation-style-language/schema/raw/master/csl-citation.json"}</w:instrText>
      </w:r>
      <w:r w:rsidRPr="002C3C2E">
        <w:rPr>
          <w:rStyle w:val="fontstyle01"/>
          <w:sz w:val="20"/>
          <w:szCs w:val="20"/>
        </w:rPr>
        <w:fldChar w:fldCharType="separate"/>
      </w:r>
      <w:r w:rsidRPr="002C3C2E">
        <w:rPr>
          <w:rStyle w:val="fontstyle01"/>
          <w:noProof/>
          <w:sz w:val="20"/>
          <w:szCs w:val="20"/>
        </w:rPr>
        <w:t>Asti (2015)</w:t>
      </w:r>
      <w:r w:rsidRPr="002C3C2E">
        <w:rPr>
          <w:rStyle w:val="fontstyle01"/>
          <w:sz w:val="20"/>
          <w:szCs w:val="20"/>
        </w:rPr>
        <w:fldChar w:fldCharType="end"/>
      </w:r>
      <w:r w:rsidRPr="002C3C2E">
        <w:rPr>
          <w:rStyle w:val="fontstyle01"/>
          <w:sz w:val="20"/>
          <w:szCs w:val="20"/>
        </w:rPr>
        <w:t xml:space="preserve"> viabilitas sel diberikan pengaruhnya oleh terjadinya radikal bebas yang berdampak pada kerusakan sel</w:t>
      </w:r>
      <w:r w:rsidR="0012773A">
        <w:rPr>
          <w:rFonts w:ascii="TimesNewRomanPSMT" w:hAnsi="TimesNewRomanPSMT"/>
          <w:color w:val="000000"/>
          <w:sz w:val="20"/>
          <w:szCs w:val="20"/>
          <w:vertAlign w:val="superscript"/>
        </w:rPr>
        <w:t>(17)</w:t>
      </w:r>
      <w:r w:rsidRPr="002C3C2E">
        <w:rPr>
          <w:rStyle w:val="fontstyle01"/>
          <w:sz w:val="20"/>
          <w:szCs w:val="20"/>
        </w:rPr>
        <w:t xml:space="preserve">. Hal tersebut juga sejalan dengan penelitian Azzahra (2014) yang menyatakan pembentukan radikal bebas dapat memicu kelisisan sel leukosit. </w:t>
      </w:r>
    </w:p>
    <w:p w14:paraId="4AA3048C" w14:textId="4719CF18" w:rsidR="002C3C2E" w:rsidRPr="002C3C2E" w:rsidRDefault="002C3C2E" w:rsidP="00545C95">
      <w:pPr>
        <w:pStyle w:val="ListParagraph"/>
        <w:spacing w:line="240" w:lineRule="auto"/>
        <w:ind w:left="0" w:firstLine="426"/>
        <w:jc w:val="both"/>
        <w:rPr>
          <w:rFonts w:ascii="TimesNewRomanPSMT" w:hAnsi="TimesNewRomanPSMT"/>
          <w:color w:val="000000"/>
          <w:sz w:val="20"/>
          <w:szCs w:val="20"/>
        </w:rPr>
      </w:pPr>
      <w:r w:rsidRPr="002C3C2E">
        <w:rPr>
          <w:rFonts w:ascii="TimesNewRomanPSMT" w:hAnsi="TimesNewRomanPSMT"/>
          <w:color w:val="000000"/>
          <w:sz w:val="20"/>
          <w:szCs w:val="20"/>
        </w:rPr>
        <w:t>Viabilitas sel monosit dipengaruhi oleh membran sel monosit yang memiliki peran penting diantaranya, sebagai integritas membran yang berifat semi permeabel yang berfungsi dalam pengontrolan pertukaran molekul dari dan ke dalam untuk kehidupan sel, serta memberikan dukungan pada aktivitas biokimia yang ada pada sel</w:t>
      </w:r>
      <w:r w:rsidR="0012773A">
        <w:rPr>
          <w:rFonts w:ascii="TimesNewRomanPSMT" w:hAnsi="TimesNewRomanPSMT"/>
          <w:color w:val="000000"/>
          <w:sz w:val="20"/>
          <w:szCs w:val="20"/>
          <w:vertAlign w:val="superscript"/>
        </w:rPr>
        <w:t>(17)</w:t>
      </w:r>
      <w:r w:rsidRPr="002C3C2E">
        <w:rPr>
          <w:rFonts w:ascii="TimesNewRomanPSMT" w:hAnsi="TimesNewRomanPSMT"/>
          <w:color w:val="000000"/>
          <w:sz w:val="20"/>
          <w:szCs w:val="20"/>
        </w:rPr>
        <w:t>.</w:t>
      </w:r>
    </w:p>
    <w:p w14:paraId="557D8D41" w14:textId="16988492" w:rsidR="00A94A80" w:rsidRDefault="002C3C2E" w:rsidP="00545C95">
      <w:pPr>
        <w:pStyle w:val="ListParagraph"/>
        <w:spacing w:line="240" w:lineRule="auto"/>
        <w:ind w:left="0" w:firstLine="426"/>
        <w:jc w:val="both"/>
        <w:rPr>
          <w:rFonts w:ascii="TimesNewRomanPSMT" w:hAnsi="TimesNewRomanPSMT"/>
          <w:color w:val="000000"/>
          <w:sz w:val="20"/>
          <w:szCs w:val="20"/>
        </w:rPr>
      </w:pPr>
      <w:r w:rsidRPr="002C3C2E">
        <w:rPr>
          <w:rFonts w:ascii="TimesNewRomanPSMT" w:hAnsi="TimesNewRomanPSMT"/>
          <w:color w:val="000000"/>
          <w:sz w:val="20"/>
          <w:szCs w:val="20"/>
        </w:rPr>
        <w:t>Berdasarkan gambar hasil penelitian, dapat diketahui sel monosit yang hidup (</w:t>
      </w:r>
      <w:r w:rsidRPr="002C3C2E">
        <w:rPr>
          <w:rFonts w:ascii="TimesNewRomanPS-ItalicMT" w:hAnsi="TimesNewRomanPS-ItalicMT"/>
          <w:i/>
          <w:iCs/>
          <w:color w:val="000000"/>
          <w:sz w:val="20"/>
          <w:szCs w:val="20"/>
        </w:rPr>
        <w:t>viable</w:t>
      </w:r>
      <w:r w:rsidRPr="002C3C2E">
        <w:rPr>
          <w:rFonts w:ascii="TimesNewRomanPS-ItalicMT" w:hAnsi="TimesNewRomanPS-ItalicMT"/>
          <w:color w:val="000000"/>
          <w:sz w:val="20"/>
          <w:szCs w:val="20"/>
        </w:rPr>
        <w:t>)</w:t>
      </w:r>
      <w:r w:rsidRPr="002C3C2E">
        <w:rPr>
          <w:rFonts w:ascii="TimesNewRomanPS-ItalicMT" w:hAnsi="TimesNewRomanPS-ItalicMT"/>
          <w:i/>
          <w:iCs/>
          <w:color w:val="000000"/>
          <w:sz w:val="20"/>
          <w:szCs w:val="20"/>
        </w:rPr>
        <w:t xml:space="preserve"> </w:t>
      </w:r>
      <w:r w:rsidRPr="002C3C2E">
        <w:rPr>
          <w:rFonts w:ascii="TimesNewRomanPSMT" w:hAnsi="TimesNewRomanPSMT"/>
          <w:color w:val="000000"/>
          <w:sz w:val="20"/>
          <w:szCs w:val="20"/>
        </w:rPr>
        <w:t>dan yang mati (</w:t>
      </w:r>
      <w:r w:rsidRPr="002C3C2E">
        <w:rPr>
          <w:rFonts w:ascii="TimesNewRomanPSMT" w:hAnsi="TimesNewRomanPSMT"/>
          <w:i/>
          <w:iCs/>
          <w:color w:val="000000"/>
          <w:sz w:val="20"/>
          <w:szCs w:val="20"/>
        </w:rPr>
        <w:t>non</w:t>
      </w:r>
      <w:r w:rsidRPr="002C3C2E">
        <w:rPr>
          <w:rFonts w:ascii="TimesNewRomanPSMT" w:hAnsi="TimesNewRomanPSMT"/>
          <w:color w:val="000000"/>
          <w:sz w:val="20"/>
          <w:szCs w:val="20"/>
        </w:rPr>
        <w:t xml:space="preserve"> </w:t>
      </w:r>
      <w:r w:rsidRPr="002C3C2E">
        <w:rPr>
          <w:rFonts w:ascii="TimesNewRomanPS-ItalicMT" w:hAnsi="TimesNewRomanPS-ItalicMT"/>
          <w:i/>
          <w:iCs/>
          <w:color w:val="000000"/>
          <w:sz w:val="20"/>
          <w:szCs w:val="20"/>
        </w:rPr>
        <w:t>viable)</w:t>
      </w:r>
      <w:r w:rsidRPr="002C3C2E">
        <w:rPr>
          <w:rFonts w:ascii="TimesNewRomanPSMT" w:hAnsi="TimesNewRomanPSMT"/>
          <w:color w:val="000000"/>
          <w:sz w:val="20"/>
          <w:szCs w:val="20"/>
        </w:rPr>
        <w:t xml:space="preserve">. Sel monosit yang hidup sitoplasmanya tampak berwana jernih karena sel hidup membran selnya masih utuh sehingga tidak mampu ditembus oleh pewarna </w:t>
      </w:r>
      <w:r w:rsidRPr="002C3C2E">
        <w:rPr>
          <w:rFonts w:ascii="TimesNewRomanPSMT" w:hAnsi="TimesNewRomanPSMT"/>
          <w:i/>
          <w:iCs/>
          <w:color w:val="000000"/>
          <w:sz w:val="20"/>
          <w:szCs w:val="20"/>
        </w:rPr>
        <w:t>trypan blue</w:t>
      </w:r>
      <w:r w:rsidRPr="002C3C2E">
        <w:rPr>
          <w:rFonts w:ascii="TimesNewRomanPSMT" w:hAnsi="TimesNewRomanPSMT"/>
          <w:color w:val="000000"/>
          <w:sz w:val="20"/>
          <w:szCs w:val="20"/>
        </w:rPr>
        <w:t xml:space="preserve">. Sedangkan sel mati stoplasmanya berwana gelap (biru) karena membran selnya telah rusak sehingga mampu ditembus oleh pewarna </w:t>
      </w:r>
      <w:r w:rsidRPr="002C3C2E">
        <w:rPr>
          <w:rFonts w:ascii="TimesNewRomanPSMT" w:hAnsi="TimesNewRomanPSMT"/>
          <w:i/>
          <w:iCs/>
          <w:color w:val="000000"/>
          <w:sz w:val="20"/>
          <w:szCs w:val="20"/>
        </w:rPr>
        <w:t>trypan blue</w:t>
      </w:r>
      <w:r w:rsidRPr="002C3C2E">
        <w:rPr>
          <w:rFonts w:ascii="TimesNewRomanPSMT" w:hAnsi="TimesNewRomanPSMT"/>
          <w:color w:val="000000"/>
          <w:sz w:val="20"/>
          <w:szCs w:val="20"/>
        </w:rPr>
        <w:t xml:space="preserve">. Sel monosit yang sitoplasmanya tampak jernih dan tidak menyerap pewarnaan </w:t>
      </w:r>
      <w:r w:rsidRPr="002C3C2E">
        <w:rPr>
          <w:rFonts w:ascii="TimesNewRomanPS-ItalicMT" w:hAnsi="TimesNewRomanPS-ItalicMT"/>
          <w:i/>
          <w:iCs/>
          <w:color w:val="000000"/>
          <w:sz w:val="20"/>
          <w:szCs w:val="20"/>
        </w:rPr>
        <w:t xml:space="preserve">trypan blue </w:t>
      </w:r>
      <w:r w:rsidRPr="002C3C2E">
        <w:rPr>
          <w:rFonts w:ascii="TimesNewRomanPSMT" w:hAnsi="TimesNewRomanPSMT"/>
          <w:color w:val="000000"/>
          <w:sz w:val="20"/>
          <w:szCs w:val="20"/>
        </w:rPr>
        <w:t xml:space="preserve">dihitung sebagai monosit yang </w:t>
      </w:r>
      <w:r w:rsidRPr="002C3C2E">
        <w:rPr>
          <w:rFonts w:ascii="TimesNewRomanPS-ItalicMT" w:hAnsi="TimesNewRomanPS-ItalicMT"/>
          <w:i/>
          <w:iCs/>
          <w:color w:val="000000"/>
          <w:sz w:val="20"/>
          <w:szCs w:val="20"/>
        </w:rPr>
        <w:t xml:space="preserve">hidup </w:t>
      </w:r>
      <w:r w:rsidRPr="002C3C2E">
        <w:rPr>
          <w:rFonts w:ascii="TimesNewRomanPSMT" w:hAnsi="TimesNewRomanPSMT"/>
          <w:color w:val="000000"/>
          <w:sz w:val="20"/>
          <w:szCs w:val="20"/>
        </w:rPr>
        <w:t xml:space="preserve">sedangkan sel monosit yang sitoplasmanya berwarna biru dan menyerap pewarnaan </w:t>
      </w:r>
      <w:r w:rsidRPr="002C3C2E">
        <w:rPr>
          <w:rFonts w:ascii="TimesNewRomanPS-ItalicMT" w:hAnsi="TimesNewRomanPS-ItalicMT"/>
          <w:i/>
          <w:iCs/>
          <w:color w:val="000000"/>
          <w:sz w:val="20"/>
          <w:szCs w:val="20"/>
        </w:rPr>
        <w:t>trypan blue</w:t>
      </w:r>
      <w:r w:rsidRPr="002C3C2E">
        <w:rPr>
          <w:rFonts w:ascii="TimesNewRomanPSMT" w:hAnsi="TimesNewRomanPSMT"/>
          <w:color w:val="000000"/>
          <w:sz w:val="20"/>
          <w:szCs w:val="20"/>
        </w:rPr>
        <w:t xml:space="preserve"> dihitung sebagai sel yang mati. Hal ini didasarkan pada prinsip </w:t>
      </w:r>
      <w:r w:rsidRPr="002C3C2E">
        <w:rPr>
          <w:rFonts w:ascii="Times-Roman" w:hAnsi="Times-Roman"/>
          <w:color w:val="000000"/>
          <w:sz w:val="20"/>
          <w:szCs w:val="20"/>
        </w:rPr>
        <w:t xml:space="preserve">pewarnaan </w:t>
      </w:r>
      <w:r w:rsidRPr="002C3C2E">
        <w:rPr>
          <w:rFonts w:ascii="Times-Roman" w:hAnsi="Times-Roman"/>
          <w:i/>
          <w:iCs/>
          <w:color w:val="000000"/>
          <w:sz w:val="20"/>
          <w:szCs w:val="20"/>
        </w:rPr>
        <w:t>trypan blue</w:t>
      </w:r>
      <w:r w:rsidRPr="002C3C2E">
        <w:rPr>
          <w:rFonts w:ascii="Times-Roman" w:hAnsi="Times-Roman"/>
          <w:color w:val="000000"/>
          <w:sz w:val="20"/>
          <w:szCs w:val="20"/>
        </w:rPr>
        <w:t xml:space="preserve">, dimana pewarna </w:t>
      </w:r>
      <w:r w:rsidRPr="002C3C2E">
        <w:rPr>
          <w:rFonts w:ascii="Times-Roman" w:hAnsi="Times-Roman"/>
          <w:i/>
          <w:iCs/>
          <w:color w:val="000000"/>
          <w:sz w:val="20"/>
          <w:szCs w:val="20"/>
        </w:rPr>
        <w:t>trypan blue</w:t>
      </w:r>
      <w:r w:rsidRPr="002C3C2E">
        <w:rPr>
          <w:rFonts w:ascii="Times-Roman" w:hAnsi="Times-Roman"/>
          <w:color w:val="000000"/>
          <w:sz w:val="20"/>
          <w:szCs w:val="20"/>
        </w:rPr>
        <w:t xml:space="preserve"> mampu menembus sel yang telah mati, karena terjadi perubahan permeabilitas membran sel atau terjadi kerusakan integritas membran sel. </w:t>
      </w:r>
      <w:r w:rsidRPr="002C3C2E">
        <w:rPr>
          <w:rFonts w:ascii="Times-Roman" w:hAnsi="Times-Roman" w:hint="eastAsia"/>
          <w:color w:val="000000"/>
          <w:sz w:val="20"/>
          <w:szCs w:val="20"/>
        </w:rPr>
        <w:t>S</w:t>
      </w:r>
      <w:r w:rsidRPr="002C3C2E">
        <w:rPr>
          <w:rFonts w:ascii="Times-Roman" w:hAnsi="Times-Roman"/>
          <w:color w:val="000000"/>
          <w:sz w:val="20"/>
          <w:szCs w:val="20"/>
        </w:rPr>
        <w:t xml:space="preserve">edangkan pada sel hidup memiliki sifat membran impermeable sehingga tidak dapat ditembus oleh pewarnaan </w:t>
      </w:r>
      <w:r w:rsidRPr="002C3C2E">
        <w:rPr>
          <w:rFonts w:ascii="Times-Roman" w:hAnsi="Times-Roman"/>
          <w:i/>
          <w:iCs/>
          <w:color w:val="000000"/>
          <w:sz w:val="20"/>
          <w:szCs w:val="20"/>
        </w:rPr>
        <w:t>trypan blue</w:t>
      </w:r>
      <w:r w:rsidR="0012773A">
        <w:rPr>
          <w:rFonts w:ascii="Times-Roman" w:hAnsi="Times-Roman"/>
          <w:i/>
          <w:iCs/>
          <w:color w:val="000000"/>
          <w:sz w:val="20"/>
          <w:szCs w:val="20"/>
        </w:rPr>
        <w:t xml:space="preserve"> </w:t>
      </w:r>
      <w:r w:rsidR="0012773A" w:rsidRPr="0060699E">
        <w:rPr>
          <w:rFonts w:ascii="TimesNewRomanPSMT" w:hAnsi="TimesNewRomanPSMT"/>
          <w:color w:val="000000"/>
          <w:sz w:val="20"/>
          <w:szCs w:val="20"/>
          <w:vertAlign w:val="superscript"/>
        </w:rPr>
        <w:t>(</w:t>
      </w:r>
      <w:r w:rsidR="0012773A">
        <w:rPr>
          <w:rFonts w:ascii="TimesNewRomanPSMT" w:hAnsi="TimesNewRomanPSMT"/>
          <w:color w:val="000000"/>
          <w:sz w:val="20"/>
          <w:szCs w:val="20"/>
          <w:vertAlign w:val="superscript"/>
        </w:rPr>
        <w:t>18)</w:t>
      </w:r>
      <w:r w:rsidRPr="002C3C2E">
        <w:rPr>
          <w:rFonts w:ascii="Times-Roman" w:hAnsi="Times-Roman"/>
          <w:color w:val="000000"/>
          <w:sz w:val="20"/>
          <w:szCs w:val="20"/>
        </w:rPr>
        <w:t>.</w:t>
      </w:r>
      <w:r w:rsidR="00545C95">
        <w:rPr>
          <w:rFonts w:ascii="Times-Roman" w:hAnsi="Times-Roman"/>
          <w:color w:val="000000"/>
          <w:sz w:val="20"/>
          <w:szCs w:val="20"/>
        </w:rPr>
        <w:t xml:space="preserve"> </w:t>
      </w:r>
      <w:r w:rsidRPr="002C3C2E">
        <w:rPr>
          <w:rFonts w:ascii="TimesNewRomanPSMT" w:hAnsi="TimesNewRomanPSMT"/>
          <w:color w:val="000000"/>
          <w:sz w:val="20"/>
          <w:szCs w:val="20"/>
        </w:rPr>
        <w:t>Berdasarkan hasil penelitian ini, dapat diketahui MSG dapat menurunkan vibilitas sel monosit dengan konsentrasi MSG yang berpengaruh signifikan terhadap viabilitas monosit.</w:t>
      </w:r>
    </w:p>
    <w:p w14:paraId="7422878A" w14:textId="77777777" w:rsidR="00545C95" w:rsidRPr="002C3C2E" w:rsidRDefault="00545C95" w:rsidP="00545C95">
      <w:pPr>
        <w:pStyle w:val="ListParagraph"/>
        <w:spacing w:line="240" w:lineRule="auto"/>
        <w:ind w:left="0" w:firstLine="426"/>
        <w:jc w:val="both"/>
        <w:rPr>
          <w:rFonts w:ascii="Times-Roman" w:hAnsi="Times-Roman"/>
          <w:color w:val="000000"/>
          <w:sz w:val="16"/>
          <w:szCs w:val="16"/>
        </w:rPr>
      </w:pPr>
    </w:p>
    <w:p w14:paraId="4CA0CB35" w14:textId="77777777" w:rsidR="00A94A80" w:rsidRDefault="00A94A80" w:rsidP="00A94A80">
      <w:pPr>
        <w:autoSpaceDE w:val="0"/>
        <w:autoSpaceDN w:val="0"/>
        <w:adjustRightInd w:val="0"/>
        <w:jc w:val="both"/>
        <w:rPr>
          <w:b/>
          <w:sz w:val="20"/>
          <w:szCs w:val="20"/>
        </w:rPr>
      </w:pPr>
      <w:r>
        <w:rPr>
          <w:b/>
          <w:sz w:val="20"/>
          <w:szCs w:val="20"/>
        </w:rPr>
        <w:t>KESIMPULAN</w:t>
      </w:r>
    </w:p>
    <w:p w14:paraId="4FA08CDD" w14:textId="77777777" w:rsidR="00A94A80" w:rsidRPr="00D01204" w:rsidRDefault="00A94A80" w:rsidP="00A94A80">
      <w:pPr>
        <w:autoSpaceDE w:val="0"/>
        <w:autoSpaceDN w:val="0"/>
        <w:adjustRightInd w:val="0"/>
        <w:jc w:val="both"/>
        <w:rPr>
          <w:b/>
          <w:sz w:val="20"/>
          <w:szCs w:val="20"/>
        </w:rPr>
      </w:pPr>
    </w:p>
    <w:p w14:paraId="77C63387" w14:textId="5D89941E" w:rsidR="006A25CD" w:rsidRDefault="00545C95" w:rsidP="00545C95">
      <w:pPr>
        <w:autoSpaceDE w:val="0"/>
        <w:autoSpaceDN w:val="0"/>
        <w:adjustRightInd w:val="0"/>
        <w:ind w:firstLine="426"/>
        <w:jc w:val="both"/>
        <w:rPr>
          <w:sz w:val="20"/>
          <w:szCs w:val="20"/>
        </w:rPr>
      </w:pPr>
      <w:bookmarkStart w:id="1" w:name="_Hlk96858645"/>
      <w:bookmarkStart w:id="2" w:name="_Hlk131110241"/>
      <w:r w:rsidRPr="00D43421">
        <w:rPr>
          <w:sz w:val="20"/>
          <w:szCs w:val="20"/>
        </w:rPr>
        <w:t>Kesimpulan yang didapatkan dari penelitian ini adalah</w:t>
      </w:r>
      <w:bookmarkEnd w:id="1"/>
      <w:bookmarkEnd w:id="2"/>
      <w:r>
        <w:rPr>
          <w:sz w:val="20"/>
          <w:szCs w:val="20"/>
        </w:rPr>
        <w:t xml:space="preserve"> t</w:t>
      </w:r>
      <w:r w:rsidR="008617C5" w:rsidRPr="008617C5">
        <w:rPr>
          <w:sz w:val="20"/>
          <w:szCs w:val="20"/>
        </w:rPr>
        <w:t xml:space="preserve">erdapat pengaruh paparan </w:t>
      </w:r>
      <w:r w:rsidR="008617C5" w:rsidRPr="008617C5">
        <w:rPr>
          <w:i/>
          <w:iCs/>
          <w:sz w:val="20"/>
          <w:szCs w:val="20"/>
        </w:rPr>
        <w:t>Monosodium Glutamat</w:t>
      </w:r>
      <w:r w:rsidR="008617C5" w:rsidRPr="008617C5">
        <w:rPr>
          <w:sz w:val="20"/>
          <w:szCs w:val="20"/>
        </w:rPr>
        <w:t xml:space="preserve"> (MSG) terhadap viabilitas sel monosit yaitu semakin</w:t>
      </w:r>
      <w:r w:rsidR="008617C5">
        <w:rPr>
          <w:sz w:val="20"/>
          <w:szCs w:val="20"/>
        </w:rPr>
        <w:t xml:space="preserve"> </w:t>
      </w:r>
      <w:r w:rsidR="008617C5" w:rsidRPr="008617C5">
        <w:rPr>
          <w:sz w:val="20"/>
          <w:szCs w:val="20"/>
        </w:rPr>
        <w:t>tinggi konsentrasi MSG</w:t>
      </w:r>
      <w:r w:rsidR="00B171DE">
        <w:rPr>
          <w:sz w:val="20"/>
          <w:szCs w:val="20"/>
        </w:rPr>
        <w:t>,</w:t>
      </w:r>
      <w:r w:rsidR="008617C5" w:rsidRPr="008617C5">
        <w:rPr>
          <w:sz w:val="20"/>
          <w:szCs w:val="20"/>
        </w:rPr>
        <w:t xml:space="preserve"> maka semakin rendah viabilitas sel monosit. </w:t>
      </w:r>
      <w:r w:rsidR="006A25CD">
        <w:rPr>
          <w:sz w:val="20"/>
          <w:szCs w:val="20"/>
        </w:rPr>
        <w:t xml:space="preserve">Pengaruh </w:t>
      </w:r>
      <w:r w:rsidR="006A25CD" w:rsidRPr="00CE495E">
        <w:rPr>
          <w:sz w:val="20"/>
          <w:szCs w:val="20"/>
        </w:rPr>
        <w:t>paling signifikan adalah kosentrasi MSG 9% dengan rata–rata viabilitas sebesar 35%.</w:t>
      </w:r>
      <w:r w:rsidR="006A25CD">
        <w:rPr>
          <w:sz w:val="20"/>
          <w:szCs w:val="20"/>
        </w:rPr>
        <w:t xml:space="preserve"> </w:t>
      </w:r>
    </w:p>
    <w:p w14:paraId="73F5B1A2" w14:textId="77777777" w:rsidR="00545C95" w:rsidRDefault="00545C95" w:rsidP="00545C95">
      <w:pPr>
        <w:autoSpaceDE w:val="0"/>
        <w:autoSpaceDN w:val="0"/>
        <w:adjustRightInd w:val="0"/>
        <w:ind w:firstLine="426"/>
        <w:jc w:val="both"/>
        <w:rPr>
          <w:b/>
          <w:color w:val="000000" w:themeColor="text1"/>
          <w:sz w:val="20"/>
          <w:szCs w:val="20"/>
        </w:rPr>
      </w:pPr>
    </w:p>
    <w:p w14:paraId="3E33D4F2" w14:textId="77777777" w:rsidR="00A94A80" w:rsidRPr="00D01204" w:rsidRDefault="00A94A80" w:rsidP="00A94A80">
      <w:pPr>
        <w:ind w:firstLine="567"/>
        <w:contextualSpacing/>
        <w:jc w:val="both"/>
        <w:rPr>
          <w:sz w:val="20"/>
          <w:szCs w:val="20"/>
        </w:rPr>
      </w:pPr>
    </w:p>
    <w:p w14:paraId="657D18C2" w14:textId="77777777" w:rsidR="00A94A80" w:rsidRDefault="00A94A80" w:rsidP="00A94A80">
      <w:pPr>
        <w:autoSpaceDE w:val="0"/>
        <w:autoSpaceDN w:val="0"/>
        <w:adjustRightInd w:val="0"/>
        <w:jc w:val="both"/>
        <w:rPr>
          <w:b/>
          <w:sz w:val="20"/>
          <w:szCs w:val="20"/>
        </w:rPr>
      </w:pPr>
      <w:r w:rsidRPr="00D01204">
        <w:rPr>
          <w:b/>
          <w:sz w:val="20"/>
          <w:szCs w:val="20"/>
        </w:rPr>
        <w:t>DAFTAR PUSTAKA</w:t>
      </w:r>
    </w:p>
    <w:p w14:paraId="2EF31E8E" w14:textId="77777777" w:rsidR="0060699E" w:rsidRPr="001E1844" w:rsidRDefault="0060699E" w:rsidP="0060699E">
      <w:pPr>
        <w:jc w:val="center"/>
        <w:rPr>
          <w:b/>
          <w:sz w:val="20"/>
          <w:szCs w:val="20"/>
          <w:lang w:val="en-ID"/>
        </w:rPr>
      </w:pPr>
    </w:p>
    <w:p w14:paraId="3FE7FF8F"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b/>
          <w:sz w:val="20"/>
          <w:szCs w:val="20"/>
          <w:lang w:val="en-ID"/>
        </w:rPr>
        <w:fldChar w:fldCharType="begin" w:fldLock="1"/>
      </w:r>
      <w:r w:rsidRPr="001E1844">
        <w:rPr>
          <w:b/>
          <w:sz w:val="20"/>
          <w:szCs w:val="20"/>
          <w:lang w:val="en-ID"/>
        </w:rPr>
        <w:instrText xml:space="preserve">ADDIN Mendeley Bibliography CSL_BIBLIOGRAPHY </w:instrText>
      </w:r>
      <w:r w:rsidRPr="001E1844">
        <w:rPr>
          <w:b/>
          <w:sz w:val="20"/>
          <w:szCs w:val="20"/>
          <w:lang w:val="en-ID"/>
        </w:rPr>
        <w:fldChar w:fldCharType="separate"/>
      </w:r>
      <w:r w:rsidRPr="001E1844">
        <w:rPr>
          <w:noProof/>
          <w:sz w:val="20"/>
          <w:szCs w:val="20"/>
        </w:rPr>
        <w:t xml:space="preserve">Iswara, I., Yonata, A., Dokter, M. P., Kedokteran, F., Lampung, U., Ilmu, B., Dalam, P., Kedokteran, F., &amp; Lampung, U. (2016). Efek Toksik Konsumsi Monosodium Glutamate Toxic Effects Consumption Of Monosodium Glutamate. </w:t>
      </w:r>
      <w:r w:rsidRPr="001E1844">
        <w:rPr>
          <w:i/>
          <w:iCs/>
          <w:noProof/>
          <w:sz w:val="20"/>
          <w:szCs w:val="20"/>
        </w:rPr>
        <w:t>Majority</w:t>
      </w:r>
      <w:r w:rsidRPr="001E1844">
        <w:rPr>
          <w:noProof/>
          <w:sz w:val="20"/>
          <w:szCs w:val="20"/>
        </w:rPr>
        <w:t xml:space="preserve">, </w:t>
      </w:r>
      <w:r w:rsidRPr="001E1844">
        <w:rPr>
          <w:i/>
          <w:iCs/>
          <w:noProof/>
          <w:sz w:val="20"/>
          <w:szCs w:val="20"/>
        </w:rPr>
        <w:t>5</w:t>
      </w:r>
      <w:r w:rsidRPr="001E1844">
        <w:rPr>
          <w:noProof/>
          <w:sz w:val="20"/>
          <w:szCs w:val="20"/>
        </w:rPr>
        <w:t>(September), 100–104.</w:t>
      </w:r>
    </w:p>
    <w:sdt>
      <w:sdtPr>
        <w:rPr>
          <w:sz w:val="20"/>
          <w:szCs w:val="20"/>
        </w:rPr>
        <w:id w:val="-573587230"/>
        <w:bibliography/>
      </w:sdtPr>
      <w:sdtContent>
        <w:p w14:paraId="4243DFD9"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sz w:val="20"/>
              <w:szCs w:val="20"/>
            </w:rPr>
            <w:fldChar w:fldCharType="begin"/>
          </w:r>
          <w:r w:rsidRPr="001E1844">
            <w:rPr>
              <w:sz w:val="20"/>
              <w:szCs w:val="20"/>
            </w:rPr>
            <w:instrText xml:space="preserve"> BIBLIOGRAPHY </w:instrText>
          </w:r>
          <w:r w:rsidRPr="001E1844">
            <w:rPr>
              <w:sz w:val="20"/>
              <w:szCs w:val="20"/>
            </w:rPr>
            <w:fldChar w:fldCharType="separate"/>
          </w:r>
          <w:r w:rsidRPr="001E1844">
            <w:rPr>
              <w:noProof/>
              <w:sz w:val="20"/>
              <w:szCs w:val="20"/>
            </w:rPr>
            <w:t xml:space="preserve">Riskesdas. (2018). Potret sehat indonesia dari riskesdas 2018. </w:t>
          </w:r>
          <w:r w:rsidRPr="001E1844">
            <w:rPr>
              <w:i/>
              <w:iCs/>
              <w:noProof/>
              <w:sz w:val="20"/>
              <w:szCs w:val="20"/>
            </w:rPr>
            <w:t>Riskesdas</w:t>
          </w:r>
          <w:r w:rsidRPr="001E1844">
            <w:rPr>
              <w:noProof/>
              <w:sz w:val="20"/>
              <w:szCs w:val="20"/>
            </w:rPr>
            <w:t>, 10-15.</w:t>
          </w:r>
        </w:p>
        <w:p w14:paraId="40EF6BF0"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rPr>
              <w:noProof/>
              <w:sz w:val="20"/>
              <w:szCs w:val="20"/>
            </w:rPr>
          </w:pPr>
          <w:r w:rsidRPr="001E1844">
            <w:rPr>
              <w:noProof/>
              <w:sz w:val="20"/>
              <w:szCs w:val="20"/>
            </w:rPr>
            <w:t xml:space="preserve">Munasiah, M. (2020). Jurnal Penelitian Perawat Profesional. </w:t>
          </w:r>
          <w:r w:rsidRPr="001E1844">
            <w:rPr>
              <w:i/>
              <w:iCs/>
              <w:noProof/>
              <w:sz w:val="20"/>
              <w:szCs w:val="20"/>
            </w:rPr>
            <w:t>Dampak Pemberian Monosodium Glutamat Terhadap Kesehatan</w:t>
          </w:r>
          <w:r w:rsidRPr="001E1844">
            <w:rPr>
              <w:noProof/>
              <w:sz w:val="20"/>
              <w:szCs w:val="20"/>
            </w:rPr>
            <w:t xml:space="preserve">, </w:t>
          </w:r>
          <w:r w:rsidRPr="001E1844">
            <w:rPr>
              <w:i/>
              <w:iCs/>
              <w:noProof/>
              <w:sz w:val="20"/>
              <w:szCs w:val="20"/>
            </w:rPr>
            <w:t>Vol. 2 No.</w:t>
          </w:r>
          <w:r w:rsidRPr="001E1844">
            <w:rPr>
              <w:noProof/>
              <w:sz w:val="20"/>
              <w:szCs w:val="20"/>
            </w:rPr>
            <w:t xml:space="preserve">(November), 451–458. Http://Jurnal.Globalhealthsciencegroup.Com/Index.Php/Jppp/Article/Download/83/65. </w:t>
          </w:r>
        </w:p>
        <w:p w14:paraId="3C0CA370"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Riskesdas. (2018). Potret sehat indonesia dari riskesdas 2018. </w:t>
          </w:r>
          <w:r w:rsidRPr="001E1844">
            <w:rPr>
              <w:i/>
              <w:iCs/>
              <w:noProof/>
              <w:sz w:val="20"/>
              <w:szCs w:val="20"/>
            </w:rPr>
            <w:t>Riskesdas</w:t>
          </w:r>
          <w:r w:rsidRPr="001E1844">
            <w:rPr>
              <w:noProof/>
              <w:sz w:val="20"/>
              <w:szCs w:val="20"/>
            </w:rPr>
            <w:t>, 10-15.</w:t>
          </w:r>
        </w:p>
        <w:p w14:paraId="4BE6E3F1"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Budiman, J. (2015). </w:t>
          </w:r>
          <w:r w:rsidRPr="001E1844">
            <w:rPr>
              <w:i/>
              <w:iCs/>
              <w:noProof/>
              <w:sz w:val="20"/>
              <w:szCs w:val="20"/>
            </w:rPr>
            <w:t>Pengaruh Madu Terhadap Gambaran Mikroskopis Testis Pada Tikus Wistar Yang Diinduksi Monosodium Glutamat</w:t>
          </w:r>
          <w:r w:rsidRPr="001E1844">
            <w:rPr>
              <w:noProof/>
              <w:sz w:val="20"/>
              <w:szCs w:val="20"/>
            </w:rPr>
            <w:t>. Universitas Diponegoro 2015.</w:t>
          </w:r>
        </w:p>
        <w:p w14:paraId="73C36FBC" w14:textId="77777777" w:rsidR="0060699E"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Kazmi, Z., Fatima, I., Perveen, S., &amp; Malik, S. S. (2017). Monosodium Glutamate: Review On Clinical Reports. In </w:t>
          </w:r>
          <w:r w:rsidRPr="001E1844">
            <w:rPr>
              <w:i/>
              <w:iCs/>
              <w:noProof/>
              <w:sz w:val="20"/>
              <w:szCs w:val="20"/>
            </w:rPr>
            <w:t>International Journal Of Food Properties</w:t>
          </w:r>
          <w:r w:rsidRPr="001E1844">
            <w:rPr>
              <w:noProof/>
              <w:sz w:val="20"/>
              <w:szCs w:val="20"/>
            </w:rPr>
            <w:t xml:space="preserve"> (Vol. 20, Issue 2). Taylor &amp; Francis. Https://Doi.Org/10.1080/10942912.2017.1295260.</w:t>
          </w:r>
        </w:p>
        <w:p w14:paraId="1BAC9C12" w14:textId="77777777" w:rsidR="00B171DE" w:rsidRDefault="00B171DE" w:rsidP="00B171DE">
          <w:pPr>
            <w:widowControl w:val="0"/>
            <w:autoSpaceDE w:val="0"/>
            <w:autoSpaceDN w:val="0"/>
            <w:adjustRightInd w:val="0"/>
            <w:jc w:val="both"/>
            <w:rPr>
              <w:noProof/>
              <w:sz w:val="20"/>
              <w:szCs w:val="20"/>
            </w:rPr>
          </w:pPr>
        </w:p>
        <w:p w14:paraId="650703D7" w14:textId="77777777" w:rsidR="00B171DE" w:rsidRPr="00B171DE" w:rsidRDefault="00B171DE" w:rsidP="00B171DE">
          <w:pPr>
            <w:widowControl w:val="0"/>
            <w:autoSpaceDE w:val="0"/>
            <w:autoSpaceDN w:val="0"/>
            <w:adjustRightInd w:val="0"/>
            <w:jc w:val="both"/>
            <w:rPr>
              <w:noProof/>
              <w:sz w:val="20"/>
              <w:szCs w:val="20"/>
            </w:rPr>
          </w:pPr>
        </w:p>
        <w:p w14:paraId="2BA281AC"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Pimenova, A. A., Marcora, E., &amp; Goate, A. M. (2017). A Tale Of Two Genes: Microglial Apoe And Trem2. </w:t>
          </w:r>
          <w:r w:rsidRPr="001E1844">
            <w:rPr>
              <w:i/>
              <w:iCs/>
              <w:noProof/>
              <w:sz w:val="20"/>
              <w:szCs w:val="20"/>
            </w:rPr>
            <w:lastRenderedPageBreak/>
            <w:t>Immunity</w:t>
          </w:r>
          <w:r w:rsidRPr="001E1844">
            <w:rPr>
              <w:noProof/>
              <w:sz w:val="20"/>
              <w:szCs w:val="20"/>
            </w:rPr>
            <w:t xml:space="preserve">, </w:t>
          </w:r>
          <w:r w:rsidRPr="001E1844">
            <w:rPr>
              <w:i/>
              <w:iCs/>
              <w:noProof/>
              <w:sz w:val="20"/>
              <w:szCs w:val="20"/>
            </w:rPr>
            <w:t>47</w:t>
          </w:r>
          <w:r w:rsidRPr="001E1844">
            <w:rPr>
              <w:noProof/>
              <w:sz w:val="20"/>
              <w:szCs w:val="20"/>
            </w:rPr>
            <w:t>(3), 398–400. Https://Doi.Org/10.1016/J.Immuni.2017.08.015.</w:t>
          </w:r>
        </w:p>
        <w:p w14:paraId="14557F6D"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El-Shobaki, F. A., Mahmoud, M. H., Attia, A. E.-R. M., Refaat, O. G., &amp; El-Haggar, E. F. (2016). The Effect Of Monosodium Glutamate (Msg) On Brain Tissue, Oxidation State, True Cholinesterase And Possible Protection Against Health Hazards Using Natural Spices. </w:t>
          </w:r>
          <w:r w:rsidRPr="001E1844">
            <w:rPr>
              <w:i/>
              <w:iCs/>
              <w:noProof/>
              <w:sz w:val="20"/>
              <w:szCs w:val="20"/>
            </w:rPr>
            <w:t>Der Pharma Chemica</w:t>
          </w:r>
          <w:r w:rsidRPr="001E1844">
            <w:rPr>
              <w:noProof/>
              <w:sz w:val="20"/>
              <w:szCs w:val="20"/>
            </w:rPr>
            <w:t xml:space="preserve">, </w:t>
          </w:r>
          <w:r w:rsidRPr="001E1844">
            <w:rPr>
              <w:i/>
              <w:iCs/>
              <w:noProof/>
              <w:sz w:val="20"/>
              <w:szCs w:val="20"/>
            </w:rPr>
            <w:t>8</w:t>
          </w:r>
          <w:r w:rsidRPr="001E1844">
            <w:rPr>
              <w:noProof/>
              <w:sz w:val="20"/>
              <w:szCs w:val="20"/>
            </w:rPr>
            <w:t>(23), 44–50.</w:t>
          </w:r>
        </w:p>
        <w:p w14:paraId="2F062734"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Astuti, E. . (2017). </w:t>
          </w:r>
          <w:r w:rsidRPr="001E1844">
            <w:rPr>
              <w:i/>
              <w:iCs/>
              <w:noProof/>
              <w:sz w:val="20"/>
              <w:szCs w:val="20"/>
            </w:rPr>
            <w:t>Kadar Benzena Di Lingkungan Kerja Dan Jumlah Leukosit Pada Mekanik Bengkel Ahass</w:t>
          </w:r>
          <w:r w:rsidRPr="001E1844">
            <w:rPr>
              <w:noProof/>
              <w:sz w:val="20"/>
              <w:szCs w:val="20"/>
            </w:rPr>
            <w:t>.</w:t>
          </w:r>
        </w:p>
        <w:p w14:paraId="1A1ACEFC"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Nadhira, M., Puspitasari, R. L., Moegni, K. F., Rosadi, I., &amp; Rosliana, I. (2018). Profil Peripheral Blood Mononuclear Cells (Pbmc) Pasien Dengan Berbagai Usia Menggunakan Flow Cytometry Di Klinik Hayandra. </w:t>
          </w:r>
          <w:r w:rsidRPr="001E1844">
            <w:rPr>
              <w:i/>
              <w:iCs/>
              <w:noProof/>
              <w:sz w:val="20"/>
              <w:szCs w:val="20"/>
            </w:rPr>
            <w:t>Jurnal Al-Azhar Indonesia Seri Sains Dan Teknologi</w:t>
          </w:r>
          <w:r w:rsidRPr="001E1844">
            <w:rPr>
              <w:noProof/>
              <w:sz w:val="20"/>
              <w:szCs w:val="20"/>
            </w:rPr>
            <w:t xml:space="preserve">, </w:t>
          </w:r>
          <w:r w:rsidRPr="001E1844">
            <w:rPr>
              <w:i/>
              <w:iCs/>
              <w:noProof/>
              <w:sz w:val="20"/>
              <w:szCs w:val="20"/>
            </w:rPr>
            <w:t>4</w:t>
          </w:r>
          <w:r w:rsidRPr="001E1844">
            <w:rPr>
              <w:noProof/>
              <w:sz w:val="20"/>
              <w:szCs w:val="20"/>
            </w:rPr>
            <w:t>(4), 208. Https://Doi.Org/10.36722/Sst.V4i4.312</w:t>
          </w:r>
        </w:p>
        <w:p w14:paraId="11834BE7"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Giyartika, F., &amp; Keman, S. (2020). The Differences Of Improving Leukosit In Radiographers At Islamic Hospital Jemursari Surabaya. </w:t>
          </w:r>
          <w:r w:rsidRPr="001E1844">
            <w:rPr>
              <w:i/>
              <w:iCs/>
              <w:noProof/>
              <w:sz w:val="20"/>
              <w:szCs w:val="20"/>
            </w:rPr>
            <w:t>Jurnal Kesehatan Lingkungan</w:t>
          </w:r>
          <w:r w:rsidRPr="001E1844">
            <w:rPr>
              <w:noProof/>
              <w:sz w:val="20"/>
              <w:szCs w:val="20"/>
            </w:rPr>
            <w:t xml:space="preserve">, </w:t>
          </w:r>
          <w:r w:rsidRPr="001E1844">
            <w:rPr>
              <w:i/>
              <w:iCs/>
              <w:noProof/>
              <w:sz w:val="20"/>
              <w:szCs w:val="20"/>
            </w:rPr>
            <w:t>12</w:t>
          </w:r>
          <w:r w:rsidRPr="001E1844">
            <w:rPr>
              <w:noProof/>
              <w:sz w:val="20"/>
              <w:szCs w:val="20"/>
            </w:rPr>
            <w:t>(2), 97. Https://Doi.Org/10.20473/Jkl.V12i2.2020.97-106</w:t>
          </w:r>
        </w:p>
        <w:p w14:paraId="750392CA"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Muharani, E. (2016). Pengaruh Pemberian Msg (Monosodium Glutamate) Pada Tikus Sprague-Dowley Betina Usia Reproduktif Selama 2 Minggu Terhadap Kadar Enzim Penanda Kerusakan Sel Hati (Ast/Alt). In </w:t>
          </w:r>
          <w:r w:rsidRPr="001E1844">
            <w:rPr>
              <w:i/>
              <w:iCs/>
              <w:noProof/>
              <w:sz w:val="20"/>
              <w:szCs w:val="20"/>
            </w:rPr>
            <w:t>Institutional Repository Uin Syarif Hidayatullah Jakarta</w:t>
          </w:r>
          <w:r w:rsidRPr="001E1844">
            <w:rPr>
              <w:noProof/>
              <w:sz w:val="20"/>
              <w:szCs w:val="20"/>
            </w:rPr>
            <w:t>.</w:t>
          </w:r>
        </w:p>
        <w:p w14:paraId="2523403A"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Agverianti, T., Muhartono, Nisa, K., &amp; Berawi. (2019). Pengaruh Pemberian Ekstrak Etanol Rimpang Lengkuas (Alpinia Galanga) Terhadap Gambaran Histopatologi Hepar Mencit (Mus Musculus L.) Yang Diinduksi Monosodium Glutamate. </w:t>
          </w:r>
          <w:r w:rsidRPr="001E1844">
            <w:rPr>
              <w:i/>
              <w:iCs/>
              <w:noProof/>
              <w:sz w:val="20"/>
              <w:szCs w:val="20"/>
            </w:rPr>
            <w:t>Jimki</w:t>
          </w:r>
          <w:r w:rsidRPr="001E1844">
            <w:rPr>
              <w:noProof/>
              <w:sz w:val="20"/>
              <w:szCs w:val="20"/>
            </w:rPr>
            <w:t xml:space="preserve">, </w:t>
          </w:r>
          <w:r w:rsidRPr="001E1844">
            <w:rPr>
              <w:i/>
              <w:iCs/>
              <w:noProof/>
              <w:sz w:val="20"/>
              <w:szCs w:val="20"/>
            </w:rPr>
            <w:t>7 Nomor 2</w:t>
          </w:r>
          <w:r w:rsidRPr="001E1844">
            <w:rPr>
              <w:noProof/>
              <w:sz w:val="20"/>
              <w:szCs w:val="20"/>
            </w:rPr>
            <w:t>(Issn 2302-6391), 7–13.</w:t>
          </w:r>
        </w:p>
        <w:p w14:paraId="5463B9D3"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Siagian, M., Jusuf, A. A., &amp; Handini, M. (2014). Pengaruh Pajanan Monosodium Glutamat Terhadap Fungsi Dan Gambaran Histologis Ginjal Tikus Serta Perubahannya Pasca Pengehntian Pajanan. </w:t>
          </w:r>
          <w:r w:rsidRPr="001E1844">
            <w:rPr>
              <w:i/>
              <w:iCs/>
              <w:noProof/>
              <w:sz w:val="20"/>
              <w:szCs w:val="20"/>
            </w:rPr>
            <w:t>J Indon Med Assoc</w:t>
          </w:r>
          <w:r w:rsidRPr="001E1844">
            <w:rPr>
              <w:noProof/>
              <w:sz w:val="20"/>
              <w:szCs w:val="20"/>
            </w:rPr>
            <w:t xml:space="preserve">, </w:t>
          </w:r>
          <w:r w:rsidRPr="001E1844">
            <w:rPr>
              <w:i/>
              <w:iCs/>
              <w:noProof/>
              <w:sz w:val="20"/>
              <w:szCs w:val="20"/>
            </w:rPr>
            <w:t>64</w:t>
          </w:r>
          <w:r w:rsidRPr="001E1844">
            <w:rPr>
              <w:noProof/>
              <w:sz w:val="20"/>
              <w:szCs w:val="20"/>
            </w:rPr>
            <w:t>(7).</w:t>
          </w:r>
        </w:p>
        <w:p w14:paraId="10DCBBCE"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Zindel, J., &amp; Kubes, P. (2020). Damps, Pamps, And Lamps In Immunity And Sterile Inflammation. </w:t>
          </w:r>
          <w:r w:rsidRPr="001E1844">
            <w:rPr>
              <w:i/>
              <w:iCs/>
              <w:noProof/>
              <w:sz w:val="20"/>
              <w:szCs w:val="20"/>
            </w:rPr>
            <w:t>Annual Review Of Pathology: Mechanisms Of Disease</w:t>
          </w:r>
          <w:r w:rsidRPr="001E1844">
            <w:rPr>
              <w:noProof/>
              <w:sz w:val="20"/>
              <w:szCs w:val="20"/>
            </w:rPr>
            <w:t xml:space="preserve">, </w:t>
          </w:r>
          <w:r w:rsidRPr="001E1844">
            <w:rPr>
              <w:i/>
              <w:iCs/>
              <w:noProof/>
              <w:sz w:val="20"/>
              <w:szCs w:val="20"/>
            </w:rPr>
            <w:t>15</w:t>
          </w:r>
          <w:r w:rsidRPr="001E1844">
            <w:rPr>
              <w:noProof/>
              <w:sz w:val="20"/>
              <w:szCs w:val="20"/>
            </w:rPr>
            <w:t>(1), 493–518. Https://Doi.Org/10.1146/Annurev-Pathmechdis-012419-032847</w:t>
          </w:r>
        </w:p>
        <w:p w14:paraId="7F1D93BE"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Budirahardjo, R. (2019). Peningkatan Viabilitas Monosit Oleh Biji Kopi Robusta Terhadap Streptococcus Mutans. </w:t>
          </w:r>
          <w:r w:rsidRPr="001E1844">
            <w:rPr>
              <w:i/>
              <w:iCs/>
              <w:noProof/>
              <w:sz w:val="20"/>
              <w:szCs w:val="20"/>
            </w:rPr>
            <w:t>Pedodonsia</w:t>
          </w:r>
          <w:r w:rsidRPr="001E1844">
            <w:rPr>
              <w:noProof/>
              <w:sz w:val="20"/>
              <w:szCs w:val="20"/>
            </w:rPr>
            <w:t>, 8–11.</w:t>
          </w:r>
        </w:p>
        <w:p w14:paraId="2CB9CBEC"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Asti, S. I. P. (2015). </w:t>
          </w:r>
          <w:r w:rsidRPr="001E1844">
            <w:rPr>
              <w:i/>
              <w:iCs/>
              <w:noProof/>
              <w:sz w:val="20"/>
              <w:szCs w:val="20"/>
            </w:rPr>
            <w:t>Terhadap Aktivitas Fagositosis Sel Monosit ( Penelitian Eksperimental Laboratoris In-Vitro )</w:t>
          </w:r>
          <w:r w:rsidRPr="001E1844">
            <w:rPr>
              <w:noProof/>
              <w:sz w:val="20"/>
              <w:szCs w:val="20"/>
            </w:rPr>
            <w:t>. Universitas Jember.</w:t>
          </w:r>
        </w:p>
        <w:p w14:paraId="6ED0E5C9" w14:textId="77777777" w:rsidR="0060699E" w:rsidRPr="001E1844" w:rsidRDefault="0060699E" w:rsidP="00B171DE">
          <w:pPr>
            <w:pStyle w:val="ListParagraph"/>
            <w:widowControl w:val="0"/>
            <w:numPr>
              <w:ilvl w:val="0"/>
              <w:numId w:val="3"/>
            </w:numPr>
            <w:autoSpaceDE w:val="0"/>
            <w:autoSpaceDN w:val="0"/>
            <w:adjustRightInd w:val="0"/>
            <w:spacing w:after="0" w:line="240" w:lineRule="auto"/>
            <w:ind w:left="284" w:hanging="284"/>
            <w:jc w:val="both"/>
            <w:rPr>
              <w:noProof/>
              <w:sz w:val="20"/>
              <w:szCs w:val="20"/>
            </w:rPr>
          </w:pPr>
          <w:r w:rsidRPr="001E1844">
            <w:rPr>
              <w:noProof/>
              <w:sz w:val="20"/>
              <w:szCs w:val="20"/>
            </w:rPr>
            <w:t xml:space="preserve">Shokrzadeh, M., &amp; Modanloo, M. (2017). An Overview Of The Most Common Methods For Assessing Cell Viability. </w:t>
          </w:r>
          <w:r w:rsidRPr="001E1844">
            <w:rPr>
              <w:i/>
              <w:iCs/>
              <w:noProof/>
              <w:sz w:val="20"/>
              <w:szCs w:val="20"/>
            </w:rPr>
            <w:t>Journal Of Research In Medical And Dental Science</w:t>
          </w:r>
          <w:r w:rsidRPr="001E1844">
            <w:rPr>
              <w:noProof/>
              <w:sz w:val="20"/>
              <w:szCs w:val="20"/>
            </w:rPr>
            <w:t xml:space="preserve">, </w:t>
          </w:r>
          <w:r w:rsidRPr="001E1844">
            <w:rPr>
              <w:i/>
              <w:iCs/>
              <w:noProof/>
              <w:sz w:val="20"/>
              <w:szCs w:val="20"/>
            </w:rPr>
            <w:t>5</w:t>
          </w:r>
          <w:r w:rsidRPr="001E1844">
            <w:rPr>
              <w:noProof/>
              <w:sz w:val="20"/>
              <w:szCs w:val="20"/>
            </w:rPr>
            <w:t>(2), 33–41. Https://Doi.Org/10.5455/Jrmds.2017526</w:t>
          </w:r>
        </w:p>
        <w:p w14:paraId="5F0C540B" w14:textId="77777777" w:rsidR="0060699E" w:rsidRPr="001E1844" w:rsidRDefault="0060699E" w:rsidP="00B171DE">
          <w:pPr>
            <w:widowControl w:val="0"/>
            <w:autoSpaceDE w:val="0"/>
            <w:autoSpaceDN w:val="0"/>
            <w:adjustRightInd w:val="0"/>
            <w:jc w:val="both"/>
            <w:rPr>
              <w:noProof/>
              <w:sz w:val="20"/>
              <w:szCs w:val="20"/>
            </w:rPr>
          </w:pPr>
        </w:p>
        <w:p w14:paraId="770105EE" w14:textId="77777777" w:rsidR="0060699E" w:rsidRPr="001E1844" w:rsidRDefault="0060699E" w:rsidP="00B171DE">
          <w:pPr>
            <w:rPr>
              <w:sz w:val="20"/>
              <w:szCs w:val="20"/>
            </w:rPr>
          </w:pPr>
          <w:r w:rsidRPr="001E1844">
            <w:rPr>
              <w:b/>
              <w:bCs/>
              <w:noProof/>
              <w:sz w:val="20"/>
              <w:szCs w:val="20"/>
            </w:rPr>
            <w:fldChar w:fldCharType="end"/>
          </w:r>
        </w:p>
      </w:sdtContent>
    </w:sdt>
    <w:p w14:paraId="7D4D76CA" w14:textId="77777777" w:rsidR="0060699E" w:rsidRPr="001E1844" w:rsidRDefault="0060699E" w:rsidP="0060699E">
      <w:pPr>
        <w:widowControl w:val="0"/>
        <w:autoSpaceDE w:val="0"/>
        <w:autoSpaceDN w:val="0"/>
        <w:adjustRightInd w:val="0"/>
        <w:ind w:left="480" w:hanging="480"/>
        <w:jc w:val="both"/>
        <w:rPr>
          <w:noProof/>
          <w:sz w:val="20"/>
          <w:szCs w:val="20"/>
        </w:rPr>
      </w:pPr>
    </w:p>
    <w:p w14:paraId="784BD93F" w14:textId="1FD322FD" w:rsidR="00A94A80" w:rsidRDefault="0060699E" w:rsidP="0060699E">
      <w:pPr>
        <w:ind w:left="284" w:hanging="284"/>
        <w:jc w:val="both"/>
        <w:rPr>
          <w:b/>
          <w:sz w:val="20"/>
          <w:szCs w:val="20"/>
          <w:lang w:val="en-ID"/>
        </w:rPr>
      </w:pPr>
      <w:r w:rsidRPr="001E1844">
        <w:rPr>
          <w:b/>
          <w:sz w:val="20"/>
          <w:szCs w:val="20"/>
          <w:lang w:val="en-ID"/>
        </w:rPr>
        <w:fldChar w:fldCharType="end"/>
      </w:r>
    </w:p>
    <w:p w14:paraId="10DA31C9" w14:textId="77777777" w:rsidR="00A94A80" w:rsidRDefault="00A94A80" w:rsidP="00A94A80">
      <w:pPr>
        <w:autoSpaceDE w:val="0"/>
        <w:autoSpaceDN w:val="0"/>
        <w:adjustRightInd w:val="0"/>
        <w:jc w:val="both"/>
        <w:rPr>
          <w:sz w:val="20"/>
          <w:szCs w:val="20"/>
        </w:rPr>
      </w:pPr>
    </w:p>
    <w:p w14:paraId="46698653" w14:textId="77777777" w:rsidR="0015186F" w:rsidRDefault="0015186F"/>
    <w:sectPr w:rsidR="0015186F" w:rsidSect="008C6C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pgNumType w:start="8"/>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0BBC" w14:textId="77777777" w:rsidR="00DE7FB4" w:rsidRDefault="00DE7FB4">
      <w:r>
        <w:separator/>
      </w:r>
    </w:p>
  </w:endnote>
  <w:endnote w:type="continuationSeparator" w:id="0">
    <w:p w14:paraId="351708E4" w14:textId="77777777" w:rsidR="00DE7FB4" w:rsidRDefault="00D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Roman">
    <w:altName w:val="Times New Roman"/>
    <w:panose1 w:val="00000500000000020000"/>
    <w:charset w:val="00"/>
    <w:family w:val="roman"/>
    <w:notTrueType/>
    <w:pitch w:val="default"/>
  </w:font>
  <w:font w:name="Times-Italic">
    <w:altName w:val="Times New Roman"/>
    <w:panose1 w:val="0000050000000009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F8DC" w14:textId="77777777" w:rsidR="00FB6B82" w:rsidRDefault="00FB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7AC37D3C" w14:textId="77777777" w:rsidTr="00AA4F97">
      <w:trPr>
        <w:trHeight w:val="388"/>
      </w:trPr>
      <w:tc>
        <w:tcPr>
          <w:tcW w:w="918" w:type="dxa"/>
        </w:tcPr>
        <w:p w14:paraId="05FEA69C" w14:textId="0657A172" w:rsidR="00B9006C" w:rsidRPr="006B645C" w:rsidRDefault="0012773A" w:rsidP="00F35D33">
          <w:pPr>
            <w:pStyle w:val="Footer"/>
            <w:jc w:val="center"/>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FB6B82">
            <w:rPr>
              <w:rFonts w:ascii="Arial" w:hAnsi="Arial" w:cs="Arial"/>
              <w:noProof/>
              <w:color w:val="000000"/>
            </w:rPr>
            <w:t>8</w:t>
          </w:r>
          <w:r w:rsidRPr="00C03EF7">
            <w:rPr>
              <w:rFonts w:ascii="Arial" w:hAnsi="Arial" w:cs="Arial"/>
              <w:color w:val="000000"/>
            </w:rPr>
            <w:fldChar w:fldCharType="end"/>
          </w:r>
        </w:p>
      </w:tc>
      <w:tc>
        <w:tcPr>
          <w:tcW w:w="7938" w:type="dxa"/>
        </w:tcPr>
        <w:p w14:paraId="1D790501" w14:textId="77777777" w:rsidR="008C6C75" w:rsidRDefault="008C6C75" w:rsidP="008C6C75">
          <w:pPr>
            <w:pStyle w:val="Footer"/>
          </w:pPr>
          <w:bookmarkStart w:id="4" w:name="_Hlk23261141"/>
          <w:r w:rsidRPr="00307B22">
            <w:rPr>
              <w:i/>
              <w:iCs/>
            </w:rPr>
            <w:t>Journal homepage</w:t>
          </w:r>
          <w:r>
            <w:t xml:space="preserve"> : </w:t>
          </w:r>
          <w:hyperlink r:id="rId1" w:history="1">
            <w:r w:rsidRPr="00151797">
              <w:rPr>
                <w:rStyle w:val="Hyperlink"/>
              </w:rPr>
              <w:t>https://anakes.poltekkesdepkes-sby.ac.id/</w:t>
            </w:r>
          </w:hyperlink>
          <w:bookmarkEnd w:id="4"/>
        </w:p>
        <w:p w14:paraId="1565BAFF" w14:textId="77777777" w:rsidR="00F35D33" w:rsidRPr="007F3CDF" w:rsidRDefault="00000000" w:rsidP="00F35D33">
          <w:pPr>
            <w:pStyle w:val="Footer"/>
            <w:rPr>
              <w:rFonts w:ascii="Arial" w:hAnsi="Arial" w:cs="Arial"/>
              <w:sz w:val="18"/>
              <w:szCs w:val="22"/>
              <w:lang w:val="sv-SE"/>
            </w:rPr>
          </w:pPr>
        </w:p>
      </w:tc>
    </w:tr>
  </w:tbl>
  <w:p w14:paraId="38A85445" w14:textId="77777777" w:rsidR="00B9006C" w:rsidRPr="007C582D" w:rsidRDefault="00000000" w:rsidP="00796EDE">
    <w:pPr>
      <w:pStyle w:val="Footer"/>
      <w:tabs>
        <w:tab w:val="clear" w:pos="4320"/>
        <w:tab w:val="clear" w:pos="8640"/>
        <w:tab w:val="right" w:pos="9639"/>
      </w:tabs>
      <w:ind w:right="360"/>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19E6" w14:textId="77777777" w:rsidR="00FB6B82" w:rsidRDefault="00FB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F5B0" w14:textId="77777777" w:rsidR="00DE7FB4" w:rsidRDefault="00DE7FB4">
      <w:r>
        <w:separator/>
      </w:r>
    </w:p>
  </w:footnote>
  <w:footnote w:type="continuationSeparator" w:id="0">
    <w:p w14:paraId="3EF36A53" w14:textId="77777777" w:rsidR="00DE7FB4" w:rsidRDefault="00DE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C93" w14:textId="77777777" w:rsidR="00FB6B82" w:rsidRDefault="00FB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1EB6" w14:textId="075BE135" w:rsidR="008C6C75" w:rsidRPr="00F35D33" w:rsidRDefault="008C6C75" w:rsidP="008C6C75">
    <w:pPr>
      <w:autoSpaceDE w:val="0"/>
      <w:autoSpaceDN w:val="0"/>
      <w:adjustRightInd w:val="0"/>
      <w:rPr>
        <w:rFonts w:ascii="Arial" w:hAnsi="Arial" w:cs="Arial"/>
        <w:sz w:val="20"/>
        <w:szCs w:val="22"/>
        <w:lang w:val="id-ID"/>
      </w:rPr>
    </w:pPr>
    <w:bookmarkStart w:id="3" w:name="_Hlk23261087"/>
    <w:r>
      <w:rPr>
        <w:rFonts w:ascii="Arial" w:hAnsi="Arial" w:cs="Arial"/>
        <w:sz w:val="20"/>
        <w:szCs w:val="22"/>
      </w:rPr>
      <w:t>Analis Kesehatan Sains</w:t>
    </w:r>
    <w:r w:rsidRPr="007F3CDF">
      <w:rPr>
        <w:rFonts w:ascii="Arial" w:hAnsi="Arial" w:cs="Arial"/>
        <w:sz w:val="20"/>
        <w:szCs w:val="22"/>
      </w:rPr>
      <w:t xml:space="preserve"> </w:t>
    </w:r>
    <w:r>
      <w:rPr>
        <w:rFonts w:ascii="Arial" w:hAnsi="Arial" w:cs="Arial"/>
        <w:sz w:val="20"/>
        <w:szCs w:val="22"/>
      </w:rPr>
      <w:t xml:space="preserve">                                        </w:t>
    </w:r>
    <w:r w:rsidR="00FB6B82">
      <w:rPr>
        <w:rFonts w:ascii="Arial" w:hAnsi="Arial" w:cs="Arial"/>
        <w:sz w:val="20"/>
        <w:szCs w:val="22"/>
      </w:rPr>
      <w:t xml:space="preserve">                               </w:t>
    </w:r>
    <w:r w:rsidRPr="007F3CDF">
      <w:rPr>
        <w:rFonts w:ascii="Arial" w:hAnsi="Arial" w:cs="Arial"/>
        <w:sz w:val="20"/>
        <w:szCs w:val="22"/>
      </w:rPr>
      <w:t>Volume</w:t>
    </w:r>
    <w:r>
      <w:rPr>
        <w:rFonts w:ascii="Arial" w:hAnsi="Arial" w:cs="Arial"/>
        <w:sz w:val="20"/>
        <w:szCs w:val="22"/>
      </w:rPr>
      <w:t>.</w:t>
    </w:r>
    <w:r w:rsidR="00FB6B82">
      <w:rPr>
        <w:rFonts w:ascii="Arial" w:hAnsi="Arial" w:cs="Arial"/>
        <w:sz w:val="20"/>
        <w:szCs w:val="22"/>
      </w:rPr>
      <w:t xml:space="preserve"> </w:t>
    </w:r>
    <w:r>
      <w:rPr>
        <w:rFonts w:ascii="Arial" w:hAnsi="Arial" w:cs="Arial"/>
        <w:sz w:val="20"/>
        <w:szCs w:val="22"/>
      </w:rPr>
      <w:t xml:space="preserve">11 </w:t>
    </w:r>
    <w:r w:rsidRPr="007F3CDF">
      <w:rPr>
        <w:rFonts w:ascii="Arial" w:hAnsi="Arial" w:cs="Arial"/>
        <w:sz w:val="20"/>
        <w:szCs w:val="22"/>
      </w:rPr>
      <w:t>Nomor</w:t>
    </w:r>
    <w:r w:rsidR="00547A69">
      <w:rPr>
        <w:rFonts w:ascii="Arial" w:hAnsi="Arial" w:cs="Arial"/>
        <w:sz w:val="20"/>
        <w:szCs w:val="22"/>
      </w:rPr>
      <w:t>. 1, Juni 2022</w:t>
    </w:r>
    <w:r>
      <w:rPr>
        <w:rFonts w:ascii="Arial" w:hAnsi="Arial" w:cs="Arial"/>
        <w:sz w:val="20"/>
        <w:szCs w:val="22"/>
        <w:lang w:val="id-ID"/>
      </w:rPr>
      <w:t xml:space="preserve">        </w:t>
    </w:r>
    <w:r w:rsidRPr="00816C48">
      <w:rPr>
        <w:rFonts w:ascii="Arial" w:hAnsi="Arial" w:cs="Arial"/>
        <w:sz w:val="20"/>
        <w:szCs w:val="22"/>
      </w:rPr>
      <w:t xml:space="preserve">                         </w:t>
    </w:r>
  </w:p>
  <w:bookmarkEnd w:id="3"/>
  <w:p w14:paraId="054B1A0A" w14:textId="77777777" w:rsidR="008C6C75" w:rsidRDefault="008C6C75" w:rsidP="008C6C75">
    <w:pPr>
      <w:autoSpaceDE w:val="0"/>
      <w:autoSpaceDN w:val="0"/>
      <w:adjustRightInd w:val="0"/>
      <w:rPr>
        <w:rFonts w:ascii="Arial" w:hAnsi="Arial" w:cs="Arial"/>
        <w:sz w:val="20"/>
        <w:szCs w:val="22"/>
      </w:rPr>
    </w:pPr>
    <w:r>
      <w:rPr>
        <w:rFonts w:ascii="Arial" w:hAnsi="Arial" w:cs="Arial"/>
        <w:sz w:val="20"/>
        <w:szCs w:val="22"/>
      </w:rPr>
      <w:t>p-ISSN : 2302-3635, e-ISSN : 2407-8972</w:t>
    </w:r>
  </w:p>
  <w:p w14:paraId="1D1226A3" w14:textId="723D16FE" w:rsidR="00B9006C" w:rsidRPr="008C6C75" w:rsidRDefault="008C6C75" w:rsidP="008C6C75">
    <w:pPr>
      <w:autoSpaceDE w:val="0"/>
      <w:autoSpaceDN w:val="0"/>
      <w:adjustRightInd w:val="0"/>
      <w:rPr>
        <w:rFonts w:ascii="Arial" w:hAnsi="Arial" w:cs="Arial"/>
        <w:sz w:val="20"/>
        <w:szCs w:val="22"/>
      </w:rPr>
    </w:pPr>
    <w:r>
      <w:rPr>
        <w:rFonts w:ascii="Arial" w:hAnsi="Arial" w:cs="Arial"/>
        <w:sz w:val="20"/>
        <w:szCs w:val="22"/>
      </w:rPr>
      <w:t xml:space="preserve">DOI : </w:t>
    </w:r>
    <w:r w:rsidR="00D2506D" w:rsidRPr="00D2506D">
      <w:rPr>
        <w:rFonts w:ascii="Arial" w:hAnsi="Arial" w:cs="Arial"/>
        <w:sz w:val="20"/>
        <w:szCs w:val="22"/>
      </w:rPr>
      <w:t>10.36568/anakes.v11i1.78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1B2B" w14:textId="77777777" w:rsidR="00FB6B82" w:rsidRDefault="00FB6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053A"/>
    <w:multiLevelType w:val="hybridMultilevel"/>
    <w:tmpl w:val="780A8304"/>
    <w:lvl w:ilvl="0" w:tplc="598CC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E6045"/>
    <w:multiLevelType w:val="hybridMultilevel"/>
    <w:tmpl w:val="54D29526"/>
    <w:lvl w:ilvl="0" w:tplc="0826FC64">
      <w:start w:val="1"/>
      <w:numFmt w:val="lowerLetter"/>
      <w:lvlText w:val="(%1)"/>
      <w:lvlJc w:val="left"/>
      <w:pPr>
        <w:ind w:left="5807" w:hanging="3120"/>
      </w:pPr>
      <w:rPr>
        <w:rFonts w:hint="default"/>
      </w:rPr>
    </w:lvl>
    <w:lvl w:ilvl="1" w:tplc="04090019" w:tentative="1">
      <w:start w:val="1"/>
      <w:numFmt w:val="lowerLetter"/>
      <w:lvlText w:val="%2."/>
      <w:lvlJc w:val="left"/>
      <w:pPr>
        <w:ind w:left="3767" w:hanging="360"/>
      </w:pPr>
    </w:lvl>
    <w:lvl w:ilvl="2" w:tplc="0409001B" w:tentative="1">
      <w:start w:val="1"/>
      <w:numFmt w:val="lowerRoman"/>
      <w:lvlText w:val="%3."/>
      <w:lvlJc w:val="right"/>
      <w:pPr>
        <w:ind w:left="4487" w:hanging="180"/>
      </w:pPr>
    </w:lvl>
    <w:lvl w:ilvl="3" w:tplc="0409000F" w:tentative="1">
      <w:start w:val="1"/>
      <w:numFmt w:val="decimal"/>
      <w:lvlText w:val="%4."/>
      <w:lvlJc w:val="left"/>
      <w:pPr>
        <w:ind w:left="5207" w:hanging="360"/>
      </w:pPr>
    </w:lvl>
    <w:lvl w:ilvl="4" w:tplc="04090019" w:tentative="1">
      <w:start w:val="1"/>
      <w:numFmt w:val="lowerLetter"/>
      <w:lvlText w:val="%5."/>
      <w:lvlJc w:val="left"/>
      <w:pPr>
        <w:ind w:left="5927" w:hanging="360"/>
      </w:pPr>
    </w:lvl>
    <w:lvl w:ilvl="5" w:tplc="0409001B" w:tentative="1">
      <w:start w:val="1"/>
      <w:numFmt w:val="lowerRoman"/>
      <w:lvlText w:val="%6."/>
      <w:lvlJc w:val="right"/>
      <w:pPr>
        <w:ind w:left="6647" w:hanging="180"/>
      </w:pPr>
    </w:lvl>
    <w:lvl w:ilvl="6" w:tplc="0409000F" w:tentative="1">
      <w:start w:val="1"/>
      <w:numFmt w:val="decimal"/>
      <w:lvlText w:val="%7."/>
      <w:lvlJc w:val="left"/>
      <w:pPr>
        <w:ind w:left="7367" w:hanging="360"/>
      </w:pPr>
    </w:lvl>
    <w:lvl w:ilvl="7" w:tplc="04090019" w:tentative="1">
      <w:start w:val="1"/>
      <w:numFmt w:val="lowerLetter"/>
      <w:lvlText w:val="%8."/>
      <w:lvlJc w:val="left"/>
      <w:pPr>
        <w:ind w:left="8087" w:hanging="360"/>
      </w:pPr>
    </w:lvl>
    <w:lvl w:ilvl="8" w:tplc="0409001B" w:tentative="1">
      <w:start w:val="1"/>
      <w:numFmt w:val="lowerRoman"/>
      <w:lvlText w:val="%9."/>
      <w:lvlJc w:val="right"/>
      <w:pPr>
        <w:ind w:left="8807" w:hanging="180"/>
      </w:pPr>
    </w:lvl>
  </w:abstractNum>
  <w:abstractNum w:abstractNumId="2" w15:restartNumberingAfterBreak="0">
    <w:nsid w:val="67A738F5"/>
    <w:multiLevelType w:val="hybridMultilevel"/>
    <w:tmpl w:val="77DE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550">
    <w:abstractNumId w:val="1"/>
  </w:num>
  <w:num w:numId="2" w16cid:durableId="7024537">
    <w:abstractNumId w:val="0"/>
  </w:num>
  <w:num w:numId="3" w16cid:durableId="42207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80"/>
    <w:rsid w:val="000468BE"/>
    <w:rsid w:val="000F2234"/>
    <w:rsid w:val="0012773A"/>
    <w:rsid w:val="001339D0"/>
    <w:rsid w:val="0015186F"/>
    <w:rsid w:val="001E098D"/>
    <w:rsid w:val="002150E3"/>
    <w:rsid w:val="00230D2E"/>
    <w:rsid w:val="002A2202"/>
    <w:rsid w:val="002C3C2E"/>
    <w:rsid w:val="002D583D"/>
    <w:rsid w:val="00300FFC"/>
    <w:rsid w:val="003A486B"/>
    <w:rsid w:val="004000B5"/>
    <w:rsid w:val="00435ED2"/>
    <w:rsid w:val="004E58FD"/>
    <w:rsid w:val="00545C95"/>
    <w:rsid w:val="00547A69"/>
    <w:rsid w:val="00561F38"/>
    <w:rsid w:val="0060699E"/>
    <w:rsid w:val="006A25CD"/>
    <w:rsid w:val="006F55E0"/>
    <w:rsid w:val="007A4B9D"/>
    <w:rsid w:val="007D77F5"/>
    <w:rsid w:val="008617C5"/>
    <w:rsid w:val="008C6C75"/>
    <w:rsid w:val="008E3014"/>
    <w:rsid w:val="00A860A7"/>
    <w:rsid w:val="00A942D7"/>
    <w:rsid w:val="00A94A80"/>
    <w:rsid w:val="00AC1F12"/>
    <w:rsid w:val="00B171DE"/>
    <w:rsid w:val="00BA0D7D"/>
    <w:rsid w:val="00BC6449"/>
    <w:rsid w:val="00BD145F"/>
    <w:rsid w:val="00CE495E"/>
    <w:rsid w:val="00D2506D"/>
    <w:rsid w:val="00DE7FB4"/>
    <w:rsid w:val="00FB6B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6928"/>
  <w15:chartTrackingRefBased/>
  <w15:docId w15:val="{DDEBEC60-B5F2-48F8-943B-13BED58F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80"/>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4A80"/>
    <w:pPr>
      <w:tabs>
        <w:tab w:val="center" w:pos="4320"/>
        <w:tab w:val="right" w:pos="8640"/>
      </w:tabs>
    </w:pPr>
  </w:style>
  <w:style w:type="character" w:customStyle="1" w:styleId="FooterChar">
    <w:name w:val="Footer Char"/>
    <w:basedOn w:val="DefaultParagraphFont"/>
    <w:link w:val="Footer"/>
    <w:uiPriority w:val="99"/>
    <w:rsid w:val="00A94A80"/>
    <w:rPr>
      <w:rFonts w:ascii="Times New Roman" w:eastAsia="Times New Roman" w:hAnsi="Times New Roman" w:cs="Times New Roman"/>
      <w:sz w:val="24"/>
      <w:szCs w:val="24"/>
      <w:lang w:eastAsia="en-US" w:bidi="ar-SA"/>
    </w:rPr>
  </w:style>
  <w:style w:type="paragraph" w:styleId="Header">
    <w:name w:val="header"/>
    <w:basedOn w:val="Normal"/>
    <w:link w:val="HeaderChar"/>
    <w:uiPriority w:val="99"/>
    <w:rsid w:val="00A94A80"/>
    <w:pPr>
      <w:tabs>
        <w:tab w:val="center" w:pos="4320"/>
        <w:tab w:val="right" w:pos="8640"/>
      </w:tabs>
    </w:pPr>
  </w:style>
  <w:style w:type="character" w:customStyle="1" w:styleId="HeaderChar">
    <w:name w:val="Header Char"/>
    <w:basedOn w:val="DefaultParagraphFont"/>
    <w:link w:val="Header"/>
    <w:uiPriority w:val="99"/>
    <w:rsid w:val="00A94A80"/>
    <w:rPr>
      <w:rFonts w:ascii="Times New Roman" w:eastAsia="Times New Roman" w:hAnsi="Times New Roman" w:cs="Times New Roman"/>
      <w:sz w:val="24"/>
      <w:szCs w:val="24"/>
      <w:lang w:eastAsia="en-US" w:bidi="ar-SA"/>
    </w:rPr>
  </w:style>
  <w:style w:type="table" w:styleId="TableGrid">
    <w:name w:val="Table Grid"/>
    <w:basedOn w:val="TableNormal"/>
    <w:uiPriority w:val="59"/>
    <w:rsid w:val="00A94A80"/>
    <w:pPr>
      <w:spacing w:after="0" w:line="240" w:lineRule="auto"/>
    </w:pPr>
    <w:rPr>
      <w:rFonts w:ascii="Times New Roman" w:eastAsia="Times New Roman" w:hAnsi="Times New Roman" w:cs="Times New Roman"/>
      <w:sz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A94A80"/>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A94A80"/>
    <w:rPr>
      <w:rFonts w:ascii="Times New Roman" w:eastAsia="Times New Roman" w:hAnsi="Times New Roman" w:cs="Times New Roman"/>
      <w:szCs w:val="22"/>
      <w:lang w:eastAsia="en-US" w:bidi="ar-SA"/>
    </w:rPr>
  </w:style>
  <w:style w:type="character" w:styleId="Hyperlink">
    <w:name w:val="Hyperlink"/>
    <w:uiPriority w:val="99"/>
    <w:rsid w:val="00A94A80"/>
    <w:rPr>
      <w:color w:val="0000FF"/>
      <w:u w:val="single"/>
    </w:rPr>
  </w:style>
  <w:style w:type="character" w:styleId="Emphasis">
    <w:name w:val="Emphasis"/>
    <w:uiPriority w:val="20"/>
    <w:qFormat/>
    <w:rsid w:val="00A94A80"/>
    <w:rPr>
      <w:i/>
      <w:iCs/>
    </w:rPr>
  </w:style>
  <w:style w:type="character" w:customStyle="1" w:styleId="UnresolvedMention1">
    <w:name w:val="Unresolved Mention1"/>
    <w:basedOn w:val="DefaultParagraphFont"/>
    <w:uiPriority w:val="99"/>
    <w:rsid w:val="00A94A80"/>
    <w:rPr>
      <w:color w:val="605E5C"/>
      <w:shd w:val="clear" w:color="auto" w:fill="E1DFDD"/>
    </w:rPr>
  </w:style>
  <w:style w:type="character" w:customStyle="1" w:styleId="fontstyle01">
    <w:name w:val="fontstyle01"/>
    <w:basedOn w:val="DefaultParagraphFont"/>
    <w:rsid w:val="00CE495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E495E"/>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12311@gmail.com"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watipanpan@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vydiahws@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uharkemenkes@gmail.com" TargetMode="External"/><Relationship Id="rId14" Type="http://schemas.openxmlformats.org/officeDocument/2006/relationships/chart" Target="charts/chart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Telegram%20Desktop\HASIL%20RATA%20-%20RATA%20VIABILITAS%20SEL%20MONOS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RATA - RATA VIABILITAS </a:t>
            </a:r>
          </a:p>
          <a:p>
            <a:pPr>
              <a:defRPr sz="1000"/>
            </a:pPr>
            <a:r>
              <a:rPr lang="en-US" sz="800">
                <a:solidFill>
                  <a:sysClr val="windowText" lastClr="000000"/>
                </a:solidFill>
              </a:rPr>
              <a:t>SEL MONOSIT</a:t>
            </a:r>
          </a:p>
        </c:rich>
      </c:tx>
      <c:overlay val="0"/>
      <c:spPr>
        <a:noFill/>
        <a:ln>
          <a:noFill/>
        </a:ln>
        <a:effectLst/>
      </c:spPr>
      <c:txPr>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Sheet2!$A$1:$D$1</c:f>
              <c:strCache>
                <c:ptCount val="4"/>
                <c:pt idx="0">
                  <c:v>Kontrol Sel</c:v>
                </c:pt>
                <c:pt idx="1">
                  <c:v>Konsentrasi 3%</c:v>
                </c:pt>
                <c:pt idx="2">
                  <c:v>Konsentrasi 6%</c:v>
                </c:pt>
                <c:pt idx="3">
                  <c:v>Konsentrasi 9%</c:v>
                </c:pt>
              </c:strCache>
            </c:strRef>
          </c:cat>
          <c:val>
            <c:numRef>
              <c:f>Sheet2!$A$2:$D$2</c:f>
              <c:numCache>
                <c:formatCode>0%</c:formatCode>
                <c:ptCount val="4"/>
                <c:pt idx="0">
                  <c:v>0.63</c:v>
                </c:pt>
                <c:pt idx="1">
                  <c:v>0.47</c:v>
                </c:pt>
                <c:pt idx="2">
                  <c:v>0.45</c:v>
                </c:pt>
                <c:pt idx="3">
                  <c:v>0.35</c:v>
                </c:pt>
              </c:numCache>
            </c:numRef>
          </c:val>
          <c:extLst>
            <c:ext xmlns:c16="http://schemas.microsoft.com/office/drawing/2014/chart" uri="{C3380CC4-5D6E-409C-BE32-E72D297353CC}">
              <c16:uniqueId val="{00000000-019D-47D2-864D-5440F5AB5202}"/>
            </c:ext>
          </c:extLst>
        </c:ser>
        <c:dLbls>
          <c:showLegendKey val="0"/>
          <c:showVal val="0"/>
          <c:showCatName val="0"/>
          <c:showSerName val="0"/>
          <c:showPercent val="0"/>
          <c:showBubbleSize val="0"/>
        </c:dLbls>
        <c:gapWidth val="150"/>
        <c:axId val="358509808"/>
        <c:axId val="296356840"/>
      </c:barChart>
      <c:catAx>
        <c:axId val="3585098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6356840"/>
        <c:crosses val="autoZero"/>
        <c:auto val="1"/>
        <c:lblAlgn val="ctr"/>
        <c:lblOffset val="100"/>
        <c:noMultiLvlLbl val="0"/>
      </c:catAx>
      <c:valAx>
        <c:axId val="296356840"/>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8509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3F62-59B4-4DC0-A882-2B24B8F8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5177</Words>
  <Characters>29514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Dewi Fortuna</dc:creator>
  <cp:keywords/>
  <dc:description/>
  <cp:lastModifiedBy>Ayu Puspitasari</cp:lastModifiedBy>
  <cp:revision>5</cp:revision>
  <dcterms:created xsi:type="dcterms:W3CDTF">2023-07-18T04:42:00Z</dcterms:created>
  <dcterms:modified xsi:type="dcterms:W3CDTF">2023-07-21T02:52:00Z</dcterms:modified>
</cp:coreProperties>
</file>